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FC3FC" w14:textId="77777777" w:rsidR="0014645F" w:rsidRPr="00E14D62" w:rsidRDefault="0014645F" w:rsidP="00E14D62">
      <w:pPr>
        <w:spacing w:after="0" w:line="240" w:lineRule="auto"/>
        <w:jc w:val="center"/>
        <w:rPr>
          <w:rFonts w:ascii="Verdana" w:eastAsia="Times New Roman" w:hAnsi="Verdana" w:cs="Times New Roman"/>
          <w:b/>
          <w:bCs/>
          <w:kern w:val="0"/>
          <w:sz w:val="20"/>
          <w:szCs w:val="20"/>
          <w:lang w:val="es-ES_tradnl" w:eastAsia="es-ES"/>
          <w14:ligatures w14:val="none"/>
        </w:rPr>
      </w:pPr>
      <w:r w:rsidRPr="00E14D62">
        <w:rPr>
          <w:rFonts w:ascii="Verdana" w:eastAsia="Times New Roman" w:hAnsi="Verdana" w:cs="Times New Roman"/>
          <w:b/>
          <w:bCs/>
          <w:kern w:val="0"/>
          <w:sz w:val="20"/>
          <w:szCs w:val="20"/>
          <w:lang w:val="es-ES_tradnl" w:eastAsia="es-ES"/>
          <w14:ligatures w14:val="none"/>
        </w:rPr>
        <w:t>PARTE 3</w:t>
      </w:r>
    </w:p>
    <w:p w14:paraId="4B7E5238" w14:textId="77777777" w:rsidR="0014645F" w:rsidRPr="00E14D62" w:rsidRDefault="0014645F" w:rsidP="00E14D62">
      <w:pPr>
        <w:spacing w:after="0" w:line="240" w:lineRule="auto"/>
        <w:jc w:val="center"/>
        <w:rPr>
          <w:rFonts w:ascii="Verdana" w:eastAsia="Times New Roman" w:hAnsi="Verdana" w:cs="Times New Roman"/>
          <w:b/>
          <w:bCs/>
          <w:kern w:val="0"/>
          <w:sz w:val="20"/>
          <w:szCs w:val="20"/>
          <w:lang w:val="es-ES_tradnl" w:eastAsia="es-ES"/>
          <w14:ligatures w14:val="none"/>
        </w:rPr>
      </w:pPr>
      <w:r w:rsidRPr="00E14D62">
        <w:rPr>
          <w:rFonts w:ascii="Verdana" w:eastAsia="Times New Roman" w:hAnsi="Verdana" w:cs="Times New Roman"/>
          <w:b/>
          <w:bCs/>
          <w:kern w:val="0"/>
          <w:sz w:val="20"/>
          <w:szCs w:val="20"/>
          <w:lang w:val="es-ES_tradnl" w:eastAsia="es-ES"/>
          <w14:ligatures w14:val="none"/>
        </w:rPr>
        <w:t>INFORMACIÓN FINANCIERA Y ESQUEMAS DE REPORTE</w:t>
      </w:r>
    </w:p>
    <w:p w14:paraId="4825069C" w14:textId="77777777" w:rsidR="0014645F" w:rsidRPr="00E14D62" w:rsidRDefault="0014645F" w:rsidP="00E14D62">
      <w:pPr>
        <w:spacing w:after="0" w:line="240" w:lineRule="auto"/>
        <w:jc w:val="center"/>
        <w:rPr>
          <w:rFonts w:ascii="Verdana" w:eastAsia="Times New Roman" w:hAnsi="Verdana" w:cs="Times New Roman"/>
          <w:b/>
          <w:bCs/>
          <w:kern w:val="0"/>
          <w:sz w:val="20"/>
          <w:szCs w:val="20"/>
          <w:lang w:val="es-ES_tradnl" w:eastAsia="es-ES"/>
          <w14:ligatures w14:val="none"/>
        </w:rPr>
      </w:pPr>
    </w:p>
    <w:p w14:paraId="4F7B6776" w14:textId="77777777" w:rsidR="0014645F" w:rsidRPr="00E14D62" w:rsidRDefault="0014645F" w:rsidP="00E14D62">
      <w:pPr>
        <w:spacing w:after="0" w:line="240" w:lineRule="auto"/>
        <w:jc w:val="center"/>
        <w:rPr>
          <w:rFonts w:ascii="Verdana" w:eastAsia="Times New Roman" w:hAnsi="Verdana" w:cs="Times New Roman"/>
          <w:b/>
          <w:bCs/>
          <w:kern w:val="0"/>
          <w:sz w:val="20"/>
          <w:szCs w:val="20"/>
          <w:lang w:val="es-ES_tradnl" w:eastAsia="es-ES"/>
          <w14:ligatures w14:val="none"/>
        </w:rPr>
      </w:pPr>
      <w:r w:rsidRPr="00E14D62">
        <w:rPr>
          <w:rFonts w:ascii="Verdana" w:eastAsia="Times New Roman" w:hAnsi="Verdana" w:cs="Times New Roman"/>
          <w:b/>
          <w:bCs/>
          <w:kern w:val="0"/>
          <w:sz w:val="20"/>
          <w:szCs w:val="20"/>
          <w:lang w:val="es-ES_tradnl" w:eastAsia="es-ES"/>
          <w14:ligatures w14:val="none"/>
        </w:rPr>
        <w:t>CAPÍTULO 7</w:t>
      </w:r>
    </w:p>
    <w:p w14:paraId="4C3CFD12" w14:textId="77777777" w:rsidR="0014645F" w:rsidRPr="00E14D62" w:rsidRDefault="0014645F" w:rsidP="00E14D62">
      <w:pPr>
        <w:spacing w:after="0" w:line="240" w:lineRule="auto"/>
        <w:jc w:val="center"/>
        <w:rPr>
          <w:rFonts w:ascii="Verdana" w:eastAsia="Times New Roman" w:hAnsi="Verdana" w:cs="Times New Roman"/>
          <w:b/>
          <w:bCs/>
          <w:kern w:val="0"/>
          <w:sz w:val="20"/>
          <w:szCs w:val="20"/>
          <w:lang w:val="es-ES_tradnl" w:eastAsia="es-ES"/>
          <w14:ligatures w14:val="none"/>
        </w:rPr>
      </w:pPr>
      <w:r w:rsidRPr="00E14D62">
        <w:rPr>
          <w:rFonts w:ascii="Verdana" w:eastAsia="Times New Roman" w:hAnsi="Verdana" w:cs="Times New Roman"/>
          <w:b/>
          <w:bCs/>
          <w:kern w:val="0"/>
          <w:sz w:val="20"/>
          <w:szCs w:val="20"/>
          <w:lang w:val="es-ES_tradnl" w:eastAsia="es-ES"/>
          <w14:ligatures w14:val="none"/>
        </w:rPr>
        <w:t>OPERACIONES DE LIQUIDEZ Y DEL MERCADO DE VALORES</w:t>
      </w:r>
    </w:p>
    <w:p w14:paraId="5AC58842" w14:textId="77777777" w:rsidR="0014645F" w:rsidRPr="00E14D62" w:rsidRDefault="0014645F" w:rsidP="00E14D62">
      <w:pPr>
        <w:spacing w:after="0" w:line="240" w:lineRule="auto"/>
        <w:jc w:val="center"/>
        <w:rPr>
          <w:rFonts w:ascii="Verdana" w:eastAsia="Times New Roman" w:hAnsi="Verdana" w:cs="Times New Roman"/>
          <w:b/>
          <w:bCs/>
          <w:kern w:val="0"/>
          <w:sz w:val="20"/>
          <w:szCs w:val="20"/>
          <w:lang w:val="es-ES_tradnl" w:eastAsia="es-ES"/>
          <w14:ligatures w14:val="none"/>
        </w:rPr>
      </w:pPr>
    </w:p>
    <w:p w14:paraId="67093B51" w14:textId="77777777" w:rsidR="0014645F" w:rsidRPr="00E14D62" w:rsidRDefault="0014645F" w:rsidP="00E14D62">
      <w:pPr>
        <w:spacing w:after="0" w:line="240" w:lineRule="auto"/>
        <w:jc w:val="center"/>
        <w:rPr>
          <w:rFonts w:ascii="Verdana" w:eastAsia="Times New Roman" w:hAnsi="Verdana" w:cs="Times New Roman"/>
          <w:b/>
          <w:bCs/>
          <w:kern w:val="0"/>
          <w:sz w:val="20"/>
          <w:szCs w:val="20"/>
          <w:lang w:val="es-ES_tradnl" w:eastAsia="es-ES"/>
          <w14:ligatures w14:val="none"/>
        </w:rPr>
      </w:pPr>
      <w:r w:rsidRPr="00E14D62">
        <w:rPr>
          <w:rFonts w:ascii="Verdana" w:eastAsia="Times New Roman" w:hAnsi="Verdana" w:cs="Times New Roman"/>
          <w:b/>
          <w:bCs/>
          <w:kern w:val="0"/>
          <w:sz w:val="20"/>
          <w:szCs w:val="20"/>
          <w:lang w:val="es-ES_tradnl" w:eastAsia="es-ES"/>
          <w14:ligatures w14:val="none"/>
        </w:rPr>
        <w:t>SECCIÓN 3</w:t>
      </w:r>
    </w:p>
    <w:p w14:paraId="68358F7B" w14:textId="77777777" w:rsidR="0014645F" w:rsidRPr="00E14D62" w:rsidRDefault="0014645F" w:rsidP="00E14D62">
      <w:pPr>
        <w:spacing w:after="0" w:line="240" w:lineRule="auto"/>
        <w:jc w:val="center"/>
        <w:rPr>
          <w:rFonts w:ascii="Verdana" w:eastAsia="Times New Roman" w:hAnsi="Verdana" w:cs="Times New Roman"/>
          <w:b/>
          <w:bCs/>
          <w:kern w:val="0"/>
          <w:sz w:val="20"/>
          <w:szCs w:val="20"/>
          <w:lang w:val="es-ES_tradnl" w:eastAsia="es-ES"/>
          <w14:ligatures w14:val="none"/>
        </w:rPr>
      </w:pPr>
      <w:r w:rsidRPr="00E14D62">
        <w:rPr>
          <w:rFonts w:ascii="Verdana" w:eastAsia="Times New Roman" w:hAnsi="Verdana" w:cs="Times New Roman"/>
          <w:b/>
          <w:bCs/>
          <w:kern w:val="0"/>
          <w:sz w:val="20"/>
          <w:szCs w:val="20"/>
          <w:lang w:val="es-ES_tradnl" w:eastAsia="es-ES"/>
          <w14:ligatures w14:val="none"/>
        </w:rPr>
        <w:t>DE LAS CUENTAS DE MARGEN</w:t>
      </w:r>
    </w:p>
    <w:p w14:paraId="28B72AE1" w14:textId="77777777" w:rsidR="0014645F" w:rsidRPr="0014645F" w:rsidRDefault="0014645F" w:rsidP="00E14D62">
      <w:pPr>
        <w:spacing w:line="240" w:lineRule="auto"/>
        <w:jc w:val="both"/>
        <w:rPr>
          <w:rFonts w:ascii="Verdana" w:hAnsi="Verdana" w:cs="Arial"/>
          <w:sz w:val="20"/>
          <w:szCs w:val="20"/>
          <w:lang w:val="es-ES" w:eastAsia="es-ES"/>
        </w:rPr>
      </w:pPr>
    </w:p>
    <w:p w14:paraId="01DBFD39" w14:textId="77777777" w:rsidR="002A64F5" w:rsidRDefault="002A64F5" w:rsidP="00E428E0">
      <w:pPr>
        <w:tabs>
          <w:tab w:val="left" w:pos="540"/>
        </w:tabs>
        <w:spacing w:after="0" w:line="240" w:lineRule="auto"/>
        <w:jc w:val="both"/>
        <w:rPr>
          <w:rFonts w:ascii="Verdana" w:hAnsi="Verdana" w:cs="Arial"/>
          <w:bCs/>
          <w:sz w:val="20"/>
          <w:szCs w:val="20"/>
        </w:rPr>
      </w:pPr>
    </w:p>
    <w:p w14:paraId="54879AB1" w14:textId="5FDB79C9" w:rsidR="00E14D62" w:rsidRPr="00E14D62" w:rsidRDefault="00E14D62" w:rsidP="00E428E0">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3.7.3.1.</w:t>
      </w:r>
    </w:p>
    <w:p w14:paraId="675CBB2D" w14:textId="6F386392" w:rsidR="005F07EF" w:rsidRDefault="00C5043A" w:rsidP="005F07EF">
      <w:pPr>
        <w:tabs>
          <w:tab w:val="left" w:pos="540"/>
        </w:tabs>
        <w:spacing w:after="0" w:line="240" w:lineRule="auto"/>
        <w:jc w:val="both"/>
        <w:rPr>
          <w:rFonts w:ascii="Verdana" w:hAnsi="Verdana" w:cs="Arial"/>
          <w:sz w:val="20"/>
          <w:szCs w:val="20"/>
          <w:lang w:val="es-ES" w:eastAsia="es-ES"/>
        </w:rPr>
      </w:pPr>
      <w:r>
        <w:rPr>
          <w:rFonts w:ascii="Verdana" w:hAnsi="Verdana" w:cs="Arial"/>
          <w:bCs/>
          <w:sz w:val="20"/>
          <w:szCs w:val="20"/>
        </w:rPr>
        <w:t xml:space="preserve">La </w:t>
      </w:r>
      <w:r w:rsidR="0014645F" w:rsidRPr="00E14D62">
        <w:rPr>
          <w:rFonts w:ascii="Verdana" w:hAnsi="Verdana" w:cs="Arial"/>
          <w:bCs/>
          <w:sz w:val="20"/>
          <w:szCs w:val="20"/>
        </w:rPr>
        <w:t xml:space="preserve">presente </w:t>
      </w:r>
      <w:r>
        <w:rPr>
          <w:rFonts w:ascii="Verdana" w:hAnsi="Verdana" w:cs="Arial"/>
          <w:bCs/>
          <w:sz w:val="20"/>
          <w:szCs w:val="20"/>
        </w:rPr>
        <w:t>sección</w:t>
      </w:r>
      <w:r w:rsidRPr="00E14D62">
        <w:rPr>
          <w:rFonts w:ascii="Verdana" w:hAnsi="Verdana" w:cs="Arial"/>
          <w:bCs/>
          <w:sz w:val="20"/>
          <w:szCs w:val="20"/>
        </w:rPr>
        <w:t xml:space="preserve"> </w:t>
      </w:r>
      <w:r w:rsidR="0014645F" w:rsidRPr="00E14D62">
        <w:rPr>
          <w:rFonts w:ascii="Verdana" w:hAnsi="Verdana" w:cs="Arial"/>
          <w:bCs/>
          <w:sz w:val="20"/>
          <w:szCs w:val="20"/>
        </w:rPr>
        <w:t xml:space="preserve">establece las instrucciones de las operaciones de cuentas de margen de conformidad con lo establecido en el Decreto 2555 de 2010, </w:t>
      </w:r>
      <w:r w:rsidR="00687B61">
        <w:rPr>
          <w:rFonts w:ascii="Verdana" w:hAnsi="Verdana" w:cs="Arial"/>
          <w:bCs/>
          <w:sz w:val="20"/>
          <w:szCs w:val="20"/>
        </w:rPr>
        <w:t xml:space="preserve">que </w:t>
      </w:r>
      <w:r w:rsidR="0014645F" w:rsidRPr="00E14D62">
        <w:rPr>
          <w:rFonts w:ascii="Verdana" w:hAnsi="Verdana" w:cs="Arial"/>
          <w:bCs/>
          <w:sz w:val="20"/>
          <w:szCs w:val="20"/>
        </w:rPr>
        <w:t xml:space="preserve">son aplicables </w:t>
      </w:r>
      <w:r w:rsidR="00687B61">
        <w:rPr>
          <w:rFonts w:ascii="Verdana" w:hAnsi="Verdana" w:cs="Arial"/>
          <w:bCs/>
          <w:sz w:val="20"/>
          <w:szCs w:val="20"/>
        </w:rPr>
        <w:t xml:space="preserve">a </w:t>
      </w:r>
      <w:r w:rsidR="0014645F" w:rsidRPr="00E14D62">
        <w:rPr>
          <w:rFonts w:ascii="Verdana" w:hAnsi="Verdana" w:cs="Arial"/>
          <w:bCs/>
          <w:sz w:val="20"/>
          <w:szCs w:val="20"/>
        </w:rPr>
        <w:t>las sociedades autorizadas</w:t>
      </w:r>
      <w:r w:rsidR="0014645F" w:rsidRPr="0014645F">
        <w:rPr>
          <w:rFonts w:ascii="Verdana" w:hAnsi="Verdana" w:cs="Arial"/>
          <w:sz w:val="20"/>
          <w:szCs w:val="20"/>
          <w:lang w:val="es-ES" w:eastAsia="es-ES"/>
        </w:rPr>
        <w:t xml:space="preserve"> para realizar este tipo de operaciones</w:t>
      </w:r>
      <w:r w:rsidR="0014645F" w:rsidRPr="0014645F">
        <w:rPr>
          <w:rFonts w:ascii="Verdana" w:hAnsi="Verdana" w:cs="Arial"/>
          <w:b/>
          <w:sz w:val="20"/>
          <w:szCs w:val="20"/>
          <w:lang w:val="es-ES" w:eastAsia="es-ES"/>
        </w:rPr>
        <w:t>.</w:t>
      </w:r>
    </w:p>
    <w:p w14:paraId="7DB401B1" w14:textId="77777777" w:rsidR="005F07EF" w:rsidRDefault="005F07EF" w:rsidP="005F07EF">
      <w:pPr>
        <w:tabs>
          <w:tab w:val="left" w:pos="540"/>
        </w:tabs>
        <w:spacing w:after="0" w:line="240" w:lineRule="auto"/>
        <w:jc w:val="both"/>
        <w:rPr>
          <w:rFonts w:ascii="Verdana" w:hAnsi="Verdana" w:cs="Arial"/>
          <w:sz w:val="20"/>
          <w:szCs w:val="20"/>
          <w:lang w:val="es-ES" w:eastAsia="es-ES"/>
        </w:rPr>
      </w:pPr>
    </w:p>
    <w:p w14:paraId="019B9587" w14:textId="77777777" w:rsidR="005F07EF" w:rsidRDefault="00D63A7E" w:rsidP="005F07EF">
      <w:pPr>
        <w:tabs>
          <w:tab w:val="left" w:pos="540"/>
        </w:tabs>
        <w:spacing w:after="0" w:line="240" w:lineRule="auto"/>
        <w:jc w:val="both"/>
        <w:rPr>
          <w:rFonts w:ascii="Verdana" w:hAnsi="Verdana" w:cs="Arial"/>
          <w:sz w:val="20"/>
          <w:szCs w:val="20"/>
          <w:lang w:val="es-ES" w:eastAsia="es-ES"/>
        </w:rPr>
      </w:pPr>
      <w:r>
        <w:rPr>
          <w:rFonts w:ascii="Verdana" w:hAnsi="Verdana" w:cs="Arial"/>
          <w:b/>
          <w:sz w:val="20"/>
          <w:szCs w:val="20"/>
          <w:lang w:val="es-ES" w:eastAsia="es-ES"/>
        </w:rPr>
        <w:t>DEFINICIONES COMUNES</w:t>
      </w:r>
    </w:p>
    <w:p w14:paraId="26A23B53" w14:textId="77777777" w:rsidR="005F07EF" w:rsidRDefault="005F07EF" w:rsidP="005F07EF">
      <w:pPr>
        <w:tabs>
          <w:tab w:val="left" w:pos="540"/>
        </w:tabs>
        <w:spacing w:after="0" w:line="240" w:lineRule="auto"/>
        <w:jc w:val="both"/>
        <w:rPr>
          <w:rFonts w:ascii="Verdana" w:hAnsi="Verdana" w:cs="Arial"/>
          <w:sz w:val="20"/>
          <w:szCs w:val="20"/>
          <w:lang w:val="es-ES" w:eastAsia="es-ES"/>
        </w:rPr>
      </w:pPr>
    </w:p>
    <w:p w14:paraId="252F202C" w14:textId="48C41D3B" w:rsidR="0014645F" w:rsidRPr="005F07EF" w:rsidRDefault="0014645F" w:rsidP="005F07EF">
      <w:pPr>
        <w:tabs>
          <w:tab w:val="left" w:pos="540"/>
        </w:tabs>
        <w:spacing w:after="0" w:line="240" w:lineRule="auto"/>
        <w:jc w:val="both"/>
        <w:rPr>
          <w:rFonts w:ascii="Verdana" w:hAnsi="Verdana" w:cs="Arial"/>
          <w:sz w:val="20"/>
          <w:szCs w:val="20"/>
          <w:lang w:val="es-ES" w:eastAsia="es-ES"/>
        </w:rPr>
      </w:pPr>
      <w:r w:rsidRPr="00D63A7E">
        <w:rPr>
          <w:rFonts w:ascii="Verdana" w:hAnsi="Verdana" w:cs="Arial"/>
          <w:b/>
          <w:sz w:val="20"/>
          <w:szCs w:val="20"/>
          <w:lang w:val="es-ES" w:eastAsia="es-ES"/>
        </w:rPr>
        <w:t>Operaciones que no corresponden a cuentas de margen</w:t>
      </w:r>
    </w:p>
    <w:p w14:paraId="52059284" w14:textId="77777777" w:rsidR="005F07EF" w:rsidRDefault="005F07EF" w:rsidP="002D4874">
      <w:pPr>
        <w:tabs>
          <w:tab w:val="left" w:pos="540"/>
        </w:tabs>
        <w:spacing w:after="0" w:line="240" w:lineRule="auto"/>
        <w:jc w:val="both"/>
        <w:rPr>
          <w:rFonts w:ascii="Verdana" w:hAnsi="Verdana" w:cs="Arial"/>
          <w:bCs/>
          <w:sz w:val="20"/>
          <w:szCs w:val="20"/>
        </w:rPr>
      </w:pPr>
    </w:p>
    <w:p w14:paraId="73A1ACC6" w14:textId="38CAAAC1"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2</w:t>
      </w:r>
      <w:r w:rsidRPr="00E14D62">
        <w:rPr>
          <w:rFonts w:ascii="Verdana" w:hAnsi="Verdana" w:cs="Arial"/>
          <w:bCs/>
          <w:sz w:val="20"/>
          <w:szCs w:val="20"/>
        </w:rPr>
        <w:t>.</w:t>
      </w:r>
    </w:p>
    <w:p w14:paraId="2CF6A79D" w14:textId="11A3AFF5" w:rsidR="0014645F" w:rsidRPr="0014645F" w:rsidRDefault="0014645F" w:rsidP="00E428E0">
      <w:pPr>
        <w:spacing w:line="240" w:lineRule="auto"/>
        <w:jc w:val="both"/>
        <w:rPr>
          <w:rFonts w:ascii="Verdana" w:hAnsi="Verdana" w:cs="Arial"/>
          <w:bCs/>
          <w:sz w:val="20"/>
          <w:szCs w:val="20"/>
          <w:lang w:val="es-ES" w:eastAsia="es-ES"/>
        </w:rPr>
      </w:pPr>
      <w:r w:rsidRPr="0014645F">
        <w:rPr>
          <w:rFonts w:ascii="Verdana" w:hAnsi="Verdana" w:cs="Arial"/>
          <w:bCs/>
          <w:sz w:val="20"/>
          <w:szCs w:val="20"/>
          <w:lang w:val="es-ES" w:eastAsia="es-ES"/>
        </w:rPr>
        <w:t>Salvo que la realidad económica del modelo de negocio de cada entidad indique lo contrario, no se considerarán como operaciones de cuentas de margen las siguientes operaciones:</w:t>
      </w:r>
    </w:p>
    <w:p w14:paraId="5E42FA6A" w14:textId="1458F56E" w:rsidR="0014645F" w:rsidRDefault="0014645F" w:rsidP="00E428E0">
      <w:pPr>
        <w:pStyle w:val="Prrafodelista"/>
        <w:numPr>
          <w:ilvl w:val="0"/>
          <w:numId w:val="10"/>
        </w:numPr>
        <w:spacing w:line="240" w:lineRule="auto"/>
        <w:ind w:left="567" w:hanging="567"/>
        <w:jc w:val="both"/>
        <w:rPr>
          <w:rFonts w:ascii="Verdana" w:hAnsi="Verdana" w:cs="Arial"/>
          <w:bCs/>
          <w:sz w:val="20"/>
          <w:szCs w:val="20"/>
          <w:lang w:val="es-ES" w:eastAsia="es-ES"/>
        </w:rPr>
      </w:pPr>
      <w:r w:rsidRPr="00D63A7E">
        <w:rPr>
          <w:rFonts w:ascii="Verdana" w:hAnsi="Verdana" w:cs="Arial"/>
          <w:bCs/>
          <w:sz w:val="20"/>
          <w:szCs w:val="20"/>
          <w:lang w:val="es-ES" w:eastAsia="es-ES"/>
        </w:rPr>
        <w:t>Las realizadas en desarrollo del contrato de comisión para la compra y venta de valores en las cuales el valor total de la operación se cumpla con recursos entregados por el cliente.</w:t>
      </w:r>
    </w:p>
    <w:p w14:paraId="3A349854" w14:textId="77777777" w:rsidR="005F07EF" w:rsidRPr="005F07EF" w:rsidRDefault="005F07EF" w:rsidP="005F07EF">
      <w:pPr>
        <w:pStyle w:val="Prrafodelista"/>
        <w:spacing w:line="240" w:lineRule="auto"/>
        <w:ind w:left="567"/>
        <w:jc w:val="both"/>
        <w:rPr>
          <w:rFonts w:ascii="Verdana" w:hAnsi="Verdana" w:cs="Arial"/>
          <w:bCs/>
          <w:sz w:val="20"/>
          <w:szCs w:val="20"/>
          <w:lang w:val="es-ES" w:eastAsia="es-ES"/>
        </w:rPr>
      </w:pPr>
    </w:p>
    <w:p w14:paraId="3757F2F0" w14:textId="39F98263" w:rsidR="0014645F" w:rsidRPr="00FE47D3" w:rsidRDefault="0014645F" w:rsidP="00E428E0">
      <w:pPr>
        <w:pStyle w:val="Prrafodelista"/>
        <w:numPr>
          <w:ilvl w:val="0"/>
          <w:numId w:val="10"/>
        </w:numPr>
        <w:spacing w:line="240" w:lineRule="auto"/>
        <w:ind w:left="567" w:hanging="567"/>
        <w:jc w:val="both"/>
        <w:rPr>
          <w:rFonts w:ascii="Verdana" w:hAnsi="Verdana" w:cs="Arial"/>
          <w:bCs/>
          <w:sz w:val="20"/>
          <w:szCs w:val="20"/>
          <w:lang w:val="es-ES" w:eastAsia="es-ES"/>
        </w:rPr>
      </w:pPr>
      <w:r w:rsidRPr="00D63A7E">
        <w:rPr>
          <w:rFonts w:ascii="Verdana" w:hAnsi="Verdana" w:cs="Arial"/>
          <w:bCs/>
          <w:sz w:val="20"/>
          <w:szCs w:val="20"/>
          <w:lang w:val="es-ES" w:eastAsia="es-ES"/>
        </w:rPr>
        <w:t xml:space="preserve">Las operaciones repo, simultáneas y de transferencia temporal de valores que se desarrollen a través de sistemas de negociación de valores autorizados por la Superintendencia Financiera de Colombia (SFC), que sean compensadas y liquidadas por una cámara de riesgo central de contraparte autorizada por la SFC o por una entidad de contrapartida central </w:t>
      </w:r>
      <w:r w:rsidRPr="004A141B">
        <w:rPr>
          <w:rFonts w:ascii="Verdana" w:hAnsi="Verdana" w:cs="Arial"/>
          <w:bCs/>
          <w:sz w:val="20"/>
          <w:szCs w:val="20"/>
          <w:lang w:val="es-ES" w:eastAsia="es-ES"/>
        </w:rPr>
        <w:t>reconocida en los términos del capítulo II del título II de la parte I de la Circular Básica Jurídica</w:t>
      </w:r>
      <w:r w:rsidR="007D26C7">
        <w:rPr>
          <w:rFonts w:ascii="Verdana" w:hAnsi="Verdana" w:cs="Arial"/>
          <w:bCs/>
          <w:sz w:val="20"/>
          <w:szCs w:val="20"/>
          <w:lang w:val="es-ES" w:eastAsia="es-ES"/>
        </w:rPr>
        <w:t xml:space="preserve"> (CBJ)</w:t>
      </w:r>
      <w:r w:rsidRPr="004A141B">
        <w:rPr>
          <w:rFonts w:ascii="Verdana" w:hAnsi="Verdana" w:cs="Arial"/>
          <w:bCs/>
          <w:sz w:val="20"/>
          <w:szCs w:val="20"/>
          <w:lang w:val="es-ES" w:eastAsia="es-ES"/>
        </w:rPr>
        <w:t>. La</w:t>
      </w:r>
      <w:r w:rsidRPr="00D63A7E">
        <w:rPr>
          <w:rFonts w:ascii="Verdana" w:hAnsi="Verdana" w:cs="Arial"/>
          <w:bCs/>
          <w:sz w:val="20"/>
          <w:szCs w:val="20"/>
          <w:lang w:val="es-ES" w:eastAsia="es-ES"/>
        </w:rPr>
        <w:t xml:space="preserve"> anterior regla no aplica a las operaciones repo, simultáneas y de transferencia temporal de valores desarrolladas como parte de cuentas de margen.</w:t>
      </w:r>
    </w:p>
    <w:p w14:paraId="440FC358" w14:textId="213EC515" w:rsidR="0014645F" w:rsidRPr="00D63A7E" w:rsidRDefault="0014645F" w:rsidP="00D63A7E">
      <w:pPr>
        <w:spacing w:line="240" w:lineRule="auto"/>
        <w:jc w:val="both"/>
        <w:rPr>
          <w:rFonts w:ascii="Verdana" w:hAnsi="Verdana" w:cs="Arial"/>
          <w:b/>
          <w:sz w:val="20"/>
          <w:szCs w:val="20"/>
          <w:lang w:val="es-ES" w:eastAsia="es-ES"/>
        </w:rPr>
      </w:pPr>
      <w:r w:rsidRPr="00D63A7E">
        <w:rPr>
          <w:rFonts w:ascii="Verdana" w:hAnsi="Verdana" w:cs="Arial"/>
          <w:b/>
          <w:sz w:val="20"/>
          <w:szCs w:val="20"/>
          <w:lang w:val="es-ES" w:eastAsia="es-ES"/>
        </w:rPr>
        <w:t>Capital adecuado para efectos del cálculo de los límites de las cuentas de margen</w:t>
      </w:r>
    </w:p>
    <w:p w14:paraId="2B653D33" w14:textId="4E456426"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3</w:t>
      </w:r>
      <w:r w:rsidRPr="00E14D62">
        <w:rPr>
          <w:rFonts w:ascii="Verdana" w:hAnsi="Verdana" w:cs="Arial"/>
          <w:bCs/>
          <w:sz w:val="20"/>
          <w:szCs w:val="20"/>
        </w:rPr>
        <w:t>.</w:t>
      </w:r>
    </w:p>
    <w:p w14:paraId="5D75213E" w14:textId="286B7C91" w:rsidR="0014645F" w:rsidRPr="0014645F"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 xml:space="preserve">Para efectos de lo dispuesto en el numeral 5 del artículo 2.33.1.3.2.del Decreto 2555 de 2010, se entenderá por capital adecuado aquel necesario para calcular el límite previsto en </w:t>
      </w:r>
      <w:r w:rsidR="00BE1D13">
        <w:rPr>
          <w:rFonts w:ascii="Verdana" w:hAnsi="Verdana" w:cs="Arial"/>
          <w:sz w:val="20"/>
          <w:szCs w:val="20"/>
          <w:lang w:val="es-ES" w:eastAsia="es-ES"/>
        </w:rPr>
        <w:t xml:space="preserve">el </w:t>
      </w:r>
      <w:r w:rsidR="002D4874" w:rsidRPr="0014645F">
        <w:rPr>
          <w:rFonts w:ascii="Verdana" w:hAnsi="Verdana" w:cs="Arial"/>
          <w:sz w:val="20"/>
          <w:szCs w:val="20"/>
          <w:lang w:val="es-ES" w:eastAsia="es-ES"/>
        </w:rPr>
        <w:t>artículo 2.33.1.5.1</w:t>
      </w:r>
      <w:r w:rsidRPr="0014645F">
        <w:rPr>
          <w:rFonts w:ascii="Verdana" w:hAnsi="Verdana" w:cs="Arial"/>
          <w:sz w:val="20"/>
          <w:szCs w:val="20"/>
          <w:lang w:val="es-ES" w:eastAsia="es-ES"/>
        </w:rPr>
        <w:t xml:space="preserve"> del Decreto 2555 de 2010. </w:t>
      </w:r>
    </w:p>
    <w:p w14:paraId="7189325E" w14:textId="7CA6FFC8" w:rsidR="0014645F" w:rsidRPr="00D63A7E" w:rsidRDefault="0014645F" w:rsidP="00D63A7E">
      <w:pPr>
        <w:spacing w:line="240" w:lineRule="auto"/>
        <w:jc w:val="both"/>
        <w:rPr>
          <w:rFonts w:ascii="Verdana" w:hAnsi="Verdana" w:cs="Arial"/>
          <w:b/>
          <w:sz w:val="20"/>
          <w:szCs w:val="20"/>
          <w:lang w:val="es-ES" w:eastAsia="es-ES"/>
        </w:rPr>
      </w:pPr>
      <w:r w:rsidRPr="00D63A7E">
        <w:rPr>
          <w:rFonts w:ascii="Verdana" w:hAnsi="Verdana" w:cs="Arial"/>
          <w:b/>
          <w:sz w:val="20"/>
          <w:szCs w:val="20"/>
          <w:lang w:val="es-ES" w:eastAsia="es-ES"/>
        </w:rPr>
        <w:t>Fondos de inversión colectiva autorizados para actuar como clientes de cuentas de margen</w:t>
      </w:r>
    </w:p>
    <w:p w14:paraId="07F1E9A5" w14:textId="31D2D050"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4</w:t>
      </w:r>
      <w:r w:rsidRPr="00E14D62">
        <w:rPr>
          <w:rFonts w:ascii="Verdana" w:hAnsi="Verdana" w:cs="Arial"/>
          <w:bCs/>
          <w:sz w:val="20"/>
          <w:szCs w:val="20"/>
        </w:rPr>
        <w:t>.</w:t>
      </w:r>
    </w:p>
    <w:p w14:paraId="78408850" w14:textId="18C5924D" w:rsidR="0014645F" w:rsidRPr="00FE47D3" w:rsidRDefault="0014645F" w:rsidP="00E428E0">
      <w:pPr>
        <w:spacing w:line="240" w:lineRule="auto"/>
        <w:jc w:val="both"/>
        <w:rPr>
          <w:rFonts w:ascii="Verdana" w:hAnsi="Verdana" w:cs="Arial"/>
          <w:bCs/>
          <w:sz w:val="20"/>
          <w:szCs w:val="20"/>
          <w:lang w:val="es-ES" w:eastAsia="es-ES"/>
        </w:rPr>
      </w:pPr>
      <w:r w:rsidRPr="0014645F">
        <w:rPr>
          <w:rFonts w:ascii="Verdana" w:hAnsi="Verdana" w:cs="Arial"/>
          <w:bCs/>
          <w:sz w:val="20"/>
          <w:szCs w:val="20"/>
          <w:lang w:val="es-ES" w:eastAsia="es-ES"/>
        </w:rPr>
        <w:t xml:space="preserve">De acuerdo con el artículo 2.33.1.2.2. del Decreto 2555 de 2010, los fondos de inversión colectiva podrán actuar como clientes de cuentas de margen, siempre que lo permita su régimen legal especial y </w:t>
      </w:r>
      <w:r w:rsidR="00C13A82">
        <w:rPr>
          <w:rFonts w:ascii="Verdana" w:hAnsi="Verdana" w:cs="Arial"/>
          <w:bCs/>
          <w:sz w:val="20"/>
          <w:szCs w:val="20"/>
          <w:lang w:val="es-ES" w:eastAsia="es-ES"/>
        </w:rPr>
        <w:t>solo c</w:t>
      </w:r>
      <w:r w:rsidRPr="0014645F">
        <w:rPr>
          <w:rFonts w:ascii="Verdana" w:hAnsi="Verdana" w:cs="Arial"/>
          <w:bCs/>
          <w:sz w:val="20"/>
          <w:szCs w:val="20"/>
          <w:lang w:val="es-ES" w:eastAsia="es-ES"/>
        </w:rPr>
        <w:t xml:space="preserve">uando así se contemple en su respectivo reglamento. </w:t>
      </w:r>
    </w:p>
    <w:p w14:paraId="5EBA5946" w14:textId="3BDADFEF" w:rsidR="0014645F" w:rsidRPr="00D63A7E" w:rsidRDefault="0014645F" w:rsidP="00D63A7E">
      <w:pPr>
        <w:spacing w:line="240" w:lineRule="auto"/>
        <w:jc w:val="both"/>
        <w:rPr>
          <w:rFonts w:ascii="Verdana" w:hAnsi="Verdana" w:cs="Arial"/>
          <w:b/>
          <w:sz w:val="20"/>
          <w:szCs w:val="20"/>
          <w:lang w:val="es-ES" w:eastAsia="es-ES"/>
        </w:rPr>
      </w:pPr>
      <w:r w:rsidRPr="00D63A7E">
        <w:rPr>
          <w:rFonts w:ascii="Verdana" w:hAnsi="Verdana" w:cs="Arial"/>
          <w:b/>
          <w:sz w:val="20"/>
          <w:szCs w:val="20"/>
          <w:lang w:val="es-ES" w:eastAsia="es-ES"/>
        </w:rPr>
        <w:t>Precios de referencia para los llamados al margen y para el cierre obligatorio</w:t>
      </w:r>
    </w:p>
    <w:p w14:paraId="7F8E5DD5" w14:textId="48ACD68D"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5</w:t>
      </w:r>
      <w:r w:rsidRPr="00E14D62">
        <w:rPr>
          <w:rFonts w:ascii="Verdana" w:hAnsi="Verdana" w:cs="Arial"/>
          <w:bCs/>
          <w:sz w:val="20"/>
          <w:szCs w:val="20"/>
        </w:rPr>
        <w:t>.</w:t>
      </w:r>
    </w:p>
    <w:p w14:paraId="548E9F60" w14:textId="139BCF65" w:rsidR="0014645F" w:rsidRPr="0014645F"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El precio de referencia aplicable para la realización del llamado al margen y para el cierre obligatorio de posiciones abiertas de conformidad con lo previsto en el parágrafo primero del artículo 2.33.1.2.3. y en el parágrafo primero del artículo 2.33.1.2.5. del Decreto 2555 de 2010, respectivamente, se calculará de la siguiente manera:</w:t>
      </w:r>
    </w:p>
    <w:p w14:paraId="5138AB4C" w14:textId="4DE8E30C" w:rsidR="0014645F" w:rsidRDefault="0014645F" w:rsidP="00E428E0">
      <w:pPr>
        <w:pStyle w:val="Prrafodelista"/>
        <w:numPr>
          <w:ilvl w:val="0"/>
          <w:numId w:val="11"/>
        </w:numPr>
        <w:spacing w:line="240" w:lineRule="auto"/>
        <w:ind w:left="567" w:hanging="567"/>
        <w:jc w:val="both"/>
        <w:rPr>
          <w:rFonts w:ascii="Verdana" w:hAnsi="Verdana" w:cs="Arial"/>
          <w:sz w:val="20"/>
          <w:szCs w:val="20"/>
          <w:lang w:val="es-ES" w:eastAsia="es-ES"/>
        </w:rPr>
      </w:pPr>
      <w:r w:rsidRPr="00D63A7E">
        <w:rPr>
          <w:rFonts w:ascii="Verdana" w:hAnsi="Verdana" w:cs="Arial"/>
          <w:sz w:val="20"/>
          <w:szCs w:val="20"/>
          <w:lang w:val="es-ES" w:eastAsia="es-ES"/>
        </w:rPr>
        <w:t>Cuando la sociedad autorizada opere por cuenta de terceros en un sólo sistema de negociación de valores, en el cual se transe el valor objeto de la operación, deberá utilizar los siguientes precios de referencia:</w:t>
      </w:r>
    </w:p>
    <w:p w14:paraId="176A3D73" w14:textId="77777777" w:rsidR="00FE47D3" w:rsidRPr="00FE47D3" w:rsidRDefault="00FE47D3" w:rsidP="00FE47D3">
      <w:pPr>
        <w:pStyle w:val="Prrafodelista"/>
        <w:spacing w:line="240" w:lineRule="auto"/>
        <w:ind w:left="567"/>
        <w:jc w:val="both"/>
        <w:rPr>
          <w:rFonts w:ascii="Verdana" w:hAnsi="Verdana" w:cs="Arial"/>
          <w:sz w:val="20"/>
          <w:szCs w:val="20"/>
          <w:lang w:val="es-ES" w:eastAsia="es-ES"/>
        </w:rPr>
      </w:pPr>
    </w:p>
    <w:p w14:paraId="06105629" w14:textId="60430807" w:rsidR="0014645F" w:rsidRDefault="0014645F" w:rsidP="00D63A7E">
      <w:pPr>
        <w:pStyle w:val="Prrafodelista"/>
        <w:numPr>
          <w:ilvl w:val="0"/>
          <w:numId w:val="12"/>
        </w:numPr>
        <w:spacing w:line="240" w:lineRule="auto"/>
        <w:ind w:left="1134" w:hanging="567"/>
        <w:jc w:val="both"/>
        <w:rPr>
          <w:rFonts w:ascii="Verdana" w:hAnsi="Verdana" w:cs="Arial"/>
          <w:sz w:val="20"/>
          <w:szCs w:val="20"/>
          <w:lang w:val="es-ES" w:eastAsia="es-ES"/>
        </w:rPr>
      </w:pPr>
      <w:r w:rsidRPr="002D4874">
        <w:rPr>
          <w:rFonts w:ascii="Verdana" w:hAnsi="Verdana" w:cs="Arial"/>
          <w:sz w:val="20"/>
          <w:szCs w:val="20"/>
          <w:lang w:val="es-ES" w:eastAsia="es-ES"/>
        </w:rPr>
        <w:t>Desde la apertura del sistema hasta cuando se celebre la primera transacción sobre los valores objeto de la operación de cuentas de margen, se debe tomar como referencia el precio correspondiente a la punta expuesta que sea más favorable al cliente, es decir, aquella que genere mayores ganancias o menores pérdidas, según sea el caso;</w:t>
      </w:r>
    </w:p>
    <w:p w14:paraId="14144741" w14:textId="77777777" w:rsidR="002D4874" w:rsidRPr="002D4874" w:rsidRDefault="002D4874" w:rsidP="002D4874">
      <w:pPr>
        <w:pStyle w:val="Prrafodelista"/>
        <w:spacing w:line="240" w:lineRule="auto"/>
        <w:jc w:val="both"/>
        <w:rPr>
          <w:rFonts w:ascii="Verdana" w:hAnsi="Verdana" w:cs="Arial"/>
          <w:sz w:val="20"/>
          <w:szCs w:val="20"/>
          <w:lang w:val="es-ES" w:eastAsia="es-ES"/>
        </w:rPr>
      </w:pPr>
    </w:p>
    <w:p w14:paraId="3E7790D0" w14:textId="37CD3969" w:rsidR="0014645F" w:rsidRDefault="0014645F" w:rsidP="00E428E0">
      <w:pPr>
        <w:pStyle w:val="Prrafodelista"/>
        <w:numPr>
          <w:ilvl w:val="0"/>
          <w:numId w:val="13"/>
        </w:numPr>
        <w:spacing w:line="240" w:lineRule="auto"/>
        <w:ind w:left="1134" w:hanging="567"/>
        <w:jc w:val="both"/>
        <w:rPr>
          <w:rFonts w:ascii="Verdana" w:hAnsi="Verdana" w:cs="Arial"/>
          <w:sz w:val="20"/>
          <w:szCs w:val="20"/>
          <w:lang w:val="es-ES" w:eastAsia="es-ES"/>
        </w:rPr>
      </w:pPr>
      <w:r w:rsidRPr="00D63A7E">
        <w:rPr>
          <w:rFonts w:ascii="Verdana" w:hAnsi="Verdana" w:cs="Arial"/>
          <w:sz w:val="20"/>
          <w:szCs w:val="20"/>
          <w:lang w:val="es-ES" w:eastAsia="es-ES"/>
        </w:rPr>
        <w:lastRenderedPageBreak/>
        <w:t>A partir de la celebración de la primera transacción sobre los valores objeto de la operación de cuentas de margen, el correspondiente a la más reciente operación celebrada sobre el mismo valor en el respectivo sistema de negociación de valores.</w:t>
      </w:r>
    </w:p>
    <w:p w14:paraId="0C53FDF2" w14:textId="77777777" w:rsidR="00FE47D3" w:rsidRPr="00FE47D3" w:rsidRDefault="00FE47D3" w:rsidP="00FE47D3">
      <w:pPr>
        <w:pStyle w:val="Prrafodelista"/>
        <w:spacing w:line="240" w:lineRule="auto"/>
        <w:ind w:left="1134"/>
        <w:jc w:val="both"/>
        <w:rPr>
          <w:rFonts w:ascii="Verdana" w:hAnsi="Verdana" w:cs="Arial"/>
          <w:sz w:val="20"/>
          <w:szCs w:val="20"/>
          <w:lang w:val="es-ES" w:eastAsia="es-ES"/>
        </w:rPr>
      </w:pPr>
    </w:p>
    <w:p w14:paraId="46020B54" w14:textId="2CDDF0A5" w:rsidR="0014645F" w:rsidRPr="00FE47D3" w:rsidRDefault="0014645F" w:rsidP="00E428E0">
      <w:pPr>
        <w:pStyle w:val="Prrafodelista"/>
        <w:numPr>
          <w:ilvl w:val="0"/>
          <w:numId w:val="11"/>
        </w:numPr>
        <w:spacing w:line="240" w:lineRule="auto"/>
        <w:ind w:left="567" w:hanging="567"/>
        <w:jc w:val="both"/>
        <w:rPr>
          <w:rFonts w:ascii="Verdana" w:hAnsi="Verdana" w:cs="Arial"/>
          <w:sz w:val="20"/>
          <w:szCs w:val="20"/>
          <w:lang w:val="es-ES" w:eastAsia="es-ES"/>
        </w:rPr>
      </w:pPr>
      <w:r w:rsidRPr="00D63A7E">
        <w:rPr>
          <w:rFonts w:ascii="Verdana" w:hAnsi="Verdana" w:cs="Arial"/>
          <w:sz w:val="20"/>
          <w:szCs w:val="20"/>
          <w:lang w:val="es-ES" w:eastAsia="es-ES"/>
        </w:rPr>
        <w:t>Cuando la sociedad autorizada opere por cuenta de terceros en más de un sistema de negociación de valores en los cuales se transe el valor objeto de la operación, deberá comparar los precios aplicables para cada sistema de negociación de valores de conformidad con las reglas contenidas en el ordinal (i) anterior y tendrá que seleccionar aquel que conlleve unas menores ganancias o unas mayores pérdidas para el cliente, según sea el caso.</w:t>
      </w:r>
    </w:p>
    <w:p w14:paraId="57797280" w14:textId="7729BB1B" w:rsidR="0014645F" w:rsidRPr="00D63A7E" w:rsidRDefault="0014645F" w:rsidP="00D63A7E">
      <w:pPr>
        <w:spacing w:line="240" w:lineRule="auto"/>
        <w:jc w:val="both"/>
        <w:rPr>
          <w:rFonts w:ascii="Verdana" w:hAnsi="Verdana" w:cs="Arial"/>
          <w:b/>
          <w:sz w:val="20"/>
          <w:szCs w:val="20"/>
          <w:lang w:val="es-ES" w:eastAsia="es-ES"/>
        </w:rPr>
      </w:pPr>
      <w:r w:rsidRPr="00D63A7E">
        <w:rPr>
          <w:rFonts w:ascii="Verdana" w:hAnsi="Verdana" w:cs="Arial"/>
          <w:b/>
          <w:sz w:val="20"/>
          <w:szCs w:val="20"/>
          <w:lang w:val="es-ES" w:eastAsia="es-ES"/>
        </w:rPr>
        <w:t>Referencia para constitución del margen inicial</w:t>
      </w:r>
    </w:p>
    <w:p w14:paraId="7E2E5AAF" w14:textId="3D3B11A8"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6</w:t>
      </w:r>
      <w:r w:rsidRPr="00E14D62">
        <w:rPr>
          <w:rFonts w:ascii="Verdana" w:hAnsi="Verdana" w:cs="Arial"/>
          <w:bCs/>
          <w:sz w:val="20"/>
          <w:szCs w:val="20"/>
        </w:rPr>
        <w:t>.</w:t>
      </w:r>
    </w:p>
    <w:p w14:paraId="1ED589BC" w14:textId="68D0C2E2" w:rsidR="0014645F" w:rsidRPr="0014645F"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Para el cálculo de los márgenes mínimos que las sociedades autorizadas deberán exigir de acuerdo con lo previsto en el artículo</w:t>
      </w:r>
      <w:r w:rsidRPr="0014645F">
        <w:rPr>
          <w:rFonts w:ascii="Verdana" w:hAnsi="Verdana"/>
          <w:sz w:val="20"/>
          <w:szCs w:val="20"/>
        </w:rPr>
        <w:t xml:space="preserve"> </w:t>
      </w:r>
      <w:r w:rsidRPr="0014645F">
        <w:rPr>
          <w:rFonts w:ascii="Verdana" w:hAnsi="Verdana" w:cs="Arial"/>
          <w:sz w:val="20"/>
          <w:szCs w:val="20"/>
          <w:lang w:val="es-ES" w:eastAsia="es-ES"/>
        </w:rPr>
        <w:t xml:space="preserve">2.33.1.2.1 del Decreto 2555 de 2010, el valor de la posición abierta por cuenta del cliente corresponderá al valor de giro. </w:t>
      </w:r>
    </w:p>
    <w:p w14:paraId="1E212E1A" w14:textId="64651061"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7</w:t>
      </w:r>
      <w:r w:rsidRPr="00E14D62">
        <w:rPr>
          <w:rFonts w:ascii="Verdana" w:hAnsi="Verdana" w:cs="Arial"/>
          <w:bCs/>
          <w:sz w:val="20"/>
          <w:szCs w:val="20"/>
        </w:rPr>
        <w:t>.</w:t>
      </w:r>
    </w:p>
    <w:p w14:paraId="322FDA53" w14:textId="5D52C58B" w:rsidR="0014645F" w:rsidRPr="0014645F"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Para calcular el margen que se requeriría para tomar una posición equivalente a la que se tiene por cuenta del cliente</w:t>
      </w:r>
      <w:r w:rsidR="00253C95">
        <w:rPr>
          <w:rFonts w:ascii="Verdana" w:hAnsi="Verdana" w:cs="Arial"/>
          <w:sz w:val="20"/>
          <w:szCs w:val="20"/>
          <w:lang w:val="es-ES" w:eastAsia="es-ES"/>
        </w:rPr>
        <w:t>,</w:t>
      </w:r>
      <w:r w:rsidRPr="0014645F">
        <w:rPr>
          <w:rFonts w:ascii="Verdana" w:hAnsi="Verdana" w:cs="Arial"/>
          <w:sz w:val="20"/>
          <w:szCs w:val="20"/>
          <w:lang w:val="es-ES" w:eastAsia="es-ES"/>
        </w:rPr>
        <w:t xml:space="preserve"> de acuerdo con lo previsto en los artículos </w:t>
      </w:r>
      <w:r w:rsidR="00F43639" w:rsidRPr="0014645F">
        <w:rPr>
          <w:rFonts w:ascii="Verdana" w:hAnsi="Verdana" w:cs="Arial"/>
          <w:sz w:val="20"/>
          <w:szCs w:val="20"/>
          <w:lang w:val="es-ES" w:eastAsia="es-ES"/>
        </w:rPr>
        <w:t>2.33.1.2.3 y</w:t>
      </w:r>
      <w:r w:rsidRPr="0014645F">
        <w:rPr>
          <w:rFonts w:ascii="Verdana" w:hAnsi="Verdana" w:cs="Arial"/>
          <w:sz w:val="20"/>
          <w:szCs w:val="20"/>
          <w:lang w:val="es-ES" w:eastAsia="es-ES"/>
        </w:rPr>
        <w:t xml:space="preserve"> 2.33.1.2.5 del Decreto 2555 de 2010</w:t>
      </w:r>
      <w:r w:rsidR="00253C95">
        <w:rPr>
          <w:rFonts w:ascii="Verdana" w:hAnsi="Verdana" w:cs="Arial"/>
          <w:sz w:val="20"/>
          <w:szCs w:val="20"/>
          <w:lang w:val="es-ES" w:eastAsia="es-ES"/>
        </w:rPr>
        <w:t>,</w:t>
      </w:r>
      <w:r w:rsidRPr="0014645F">
        <w:rPr>
          <w:rFonts w:ascii="Verdana" w:hAnsi="Verdana" w:cs="Arial"/>
          <w:sz w:val="20"/>
          <w:szCs w:val="20"/>
          <w:lang w:val="es-ES" w:eastAsia="es-ES"/>
        </w:rPr>
        <w:t xml:space="preserve"> se atenderán las instrucciones contenidas en el </w:t>
      </w:r>
      <w:r w:rsidR="004F5663">
        <w:rPr>
          <w:rFonts w:ascii="Verdana" w:hAnsi="Verdana" w:cs="Arial"/>
          <w:sz w:val="20"/>
          <w:szCs w:val="20"/>
          <w:lang w:val="es-ES" w:eastAsia="es-ES"/>
        </w:rPr>
        <w:t xml:space="preserve">párrafo </w:t>
      </w:r>
      <w:r w:rsidR="004F5663" w:rsidRPr="00E14D62">
        <w:rPr>
          <w:rFonts w:ascii="Verdana" w:hAnsi="Verdana" w:cs="Arial"/>
          <w:bCs/>
          <w:sz w:val="20"/>
          <w:szCs w:val="20"/>
        </w:rPr>
        <w:t>3.7.3.</w:t>
      </w:r>
      <w:r w:rsidR="004F5663">
        <w:rPr>
          <w:rFonts w:ascii="Verdana" w:hAnsi="Verdana" w:cs="Arial"/>
          <w:bCs/>
          <w:sz w:val="20"/>
          <w:szCs w:val="20"/>
        </w:rPr>
        <w:t>5</w:t>
      </w:r>
      <w:r w:rsidR="004F5663" w:rsidRPr="00E14D62">
        <w:rPr>
          <w:rFonts w:ascii="Verdana" w:hAnsi="Verdana" w:cs="Arial"/>
          <w:bCs/>
          <w:sz w:val="20"/>
          <w:szCs w:val="20"/>
        </w:rPr>
        <w:t>.</w:t>
      </w:r>
      <w:r w:rsidR="004F5663">
        <w:rPr>
          <w:rFonts w:ascii="Verdana" w:hAnsi="Verdana" w:cs="Arial"/>
          <w:bCs/>
          <w:sz w:val="20"/>
          <w:szCs w:val="20"/>
        </w:rPr>
        <w:t xml:space="preserve"> de esta sección</w:t>
      </w:r>
      <w:r w:rsidRPr="0014645F">
        <w:rPr>
          <w:rFonts w:ascii="Verdana" w:hAnsi="Verdana" w:cs="Arial"/>
          <w:sz w:val="20"/>
          <w:szCs w:val="20"/>
          <w:lang w:val="es-ES" w:eastAsia="es-ES"/>
        </w:rPr>
        <w:t>.</w:t>
      </w:r>
    </w:p>
    <w:p w14:paraId="70D76A1E" w14:textId="7111E036" w:rsidR="0014645F" w:rsidRPr="00D63A7E" w:rsidRDefault="0014645F" w:rsidP="00D63A7E">
      <w:pPr>
        <w:spacing w:line="240" w:lineRule="auto"/>
        <w:jc w:val="both"/>
        <w:rPr>
          <w:rFonts w:ascii="Verdana" w:hAnsi="Verdana" w:cs="Arial"/>
          <w:b/>
          <w:sz w:val="20"/>
          <w:szCs w:val="20"/>
          <w:lang w:val="es-ES" w:eastAsia="es-ES"/>
        </w:rPr>
      </w:pPr>
      <w:r w:rsidRPr="00D63A7E">
        <w:rPr>
          <w:rFonts w:ascii="Verdana" w:hAnsi="Verdana" w:cs="Arial"/>
          <w:b/>
          <w:sz w:val="20"/>
          <w:szCs w:val="20"/>
          <w:lang w:val="es-ES" w:eastAsia="es-ES"/>
        </w:rPr>
        <w:t xml:space="preserve">Naturaleza, riesgos y condiciones de la operación de cuentas de margen </w:t>
      </w:r>
    </w:p>
    <w:p w14:paraId="14325758" w14:textId="3E009EA9"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8</w:t>
      </w:r>
      <w:r w:rsidRPr="00E14D62">
        <w:rPr>
          <w:rFonts w:ascii="Verdana" w:hAnsi="Verdana" w:cs="Arial"/>
          <w:bCs/>
          <w:sz w:val="20"/>
          <w:szCs w:val="20"/>
        </w:rPr>
        <w:t>.</w:t>
      </w:r>
    </w:p>
    <w:p w14:paraId="4177C66B" w14:textId="306101F6" w:rsidR="0014645F" w:rsidRPr="0014645F"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 xml:space="preserve">Las cuentas de margen son operaciones en las que los riesgos de mercado, de crédito y de liquidez están en cabeza del respectivo cliente, sin perjuicio del cumplimiento de </w:t>
      </w:r>
      <w:r w:rsidR="008047CA" w:rsidRPr="0014645F">
        <w:rPr>
          <w:rFonts w:ascii="Verdana" w:hAnsi="Verdana" w:cs="Arial"/>
          <w:sz w:val="20"/>
          <w:szCs w:val="20"/>
          <w:lang w:val="es-ES" w:eastAsia="es-ES"/>
        </w:rPr>
        <w:t>estas</w:t>
      </w:r>
      <w:r w:rsidRPr="0014645F">
        <w:rPr>
          <w:rFonts w:ascii="Verdana" w:hAnsi="Verdana" w:cs="Arial"/>
          <w:sz w:val="20"/>
          <w:szCs w:val="20"/>
          <w:lang w:val="es-ES" w:eastAsia="es-ES"/>
        </w:rPr>
        <w:t xml:space="preserve"> </w:t>
      </w:r>
      <w:r w:rsidR="00565336">
        <w:rPr>
          <w:rFonts w:ascii="Verdana" w:hAnsi="Verdana" w:cs="Arial"/>
          <w:sz w:val="20"/>
          <w:szCs w:val="20"/>
          <w:lang w:val="es-ES" w:eastAsia="es-ES"/>
        </w:rPr>
        <w:t xml:space="preserve">operaciones </w:t>
      </w:r>
      <w:r w:rsidRPr="0014645F">
        <w:rPr>
          <w:rFonts w:ascii="Verdana" w:hAnsi="Verdana" w:cs="Arial"/>
          <w:sz w:val="20"/>
          <w:szCs w:val="20"/>
          <w:lang w:val="es-ES" w:eastAsia="es-ES"/>
        </w:rPr>
        <w:t>en los sistemas de negociación de valores por parte de las sociedades comisionistas de bolsa de valores y de las sociedades fiduciarias.</w:t>
      </w:r>
    </w:p>
    <w:p w14:paraId="38D37D21" w14:textId="1A466D3D"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9</w:t>
      </w:r>
      <w:r w:rsidRPr="00E14D62">
        <w:rPr>
          <w:rFonts w:ascii="Verdana" w:hAnsi="Verdana" w:cs="Arial"/>
          <w:bCs/>
          <w:sz w:val="20"/>
          <w:szCs w:val="20"/>
        </w:rPr>
        <w:t>.</w:t>
      </w:r>
    </w:p>
    <w:p w14:paraId="26ED1A12" w14:textId="358D3293" w:rsidR="0014645F" w:rsidRPr="00FE47D3"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 xml:space="preserve">El riesgo de pérdida para el cliente de las operaciones de cuentas de margen no se limita a las sumas de dinero entregadas como </w:t>
      </w:r>
      <w:r w:rsidR="008047CA" w:rsidRPr="0014645F">
        <w:rPr>
          <w:rFonts w:ascii="Verdana" w:hAnsi="Verdana" w:cs="Arial"/>
          <w:sz w:val="20"/>
          <w:szCs w:val="20"/>
          <w:lang w:val="es-ES" w:eastAsia="es-ES"/>
        </w:rPr>
        <w:t>margen,</w:t>
      </w:r>
      <w:r w:rsidRPr="0014645F">
        <w:rPr>
          <w:rFonts w:ascii="Verdana" w:hAnsi="Verdana" w:cs="Arial"/>
          <w:sz w:val="20"/>
          <w:szCs w:val="20"/>
          <w:lang w:val="es-ES" w:eastAsia="es-ES"/>
        </w:rPr>
        <w:t xml:space="preserve"> sino que puede llegar a ser mayor, cuando al momento de liquidar la operación se incurra en pérdidas superiores a los recursos aportados, por razones de movimientos de mercado.</w:t>
      </w:r>
    </w:p>
    <w:p w14:paraId="710DEAE5" w14:textId="693D3289" w:rsidR="0014645F" w:rsidRPr="00D63A7E" w:rsidRDefault="0014645F" w:rsidP="00D63A7E">
      <w:pPr>
        <w:spacing w:line="240" w:lineRule="auto"/>
        <w:jc w:val="both"/>
        <w:rPr>
          <w:rFonts w:ascii="Verdana" w:hAnsi="Verdana" w:cs="Arial"/>
          <w:b/>
          <w:sz w:val="20"/>
          <w:szCs w:val="20"/>
          <w:lang w:val="es-ES" w:eastAsia="es-ES"/>
        </w:rPr>
      </w:pPr>
      <w:r w:rsidRPr="00D63A7E">
        <w:rPr>
          <w:rFonts w:ascii="Verdana" w:hAnsi="Verdana" w:cs="Arial"/>
          <w:b/>
          <w:sz w:val="20"/>
          <w:szCs w:val="20"/>
          <w:lang w:val="es-ES" w:eastAsia="es-ES"/>
        </w:rPr>
        <w:t>Valores de la misma especie y características</w:t>
      </w:r>
    </w:p>
    <w:p w14:paraId="1AD98FF5" w14:textId="195FBB8B"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10</w:t>
      </w:r>
      <w:r w:rsidRPr="00E14D62">
        <w:rPr>
          <w:rFonts w:ascii="Verdana" w:hAnsi="Verdana" w:cs="Arial"/>
          <w:bCs/>
          <w:sz w:val="20"/>
          <w:szCs w:val="20"/>
        </w:rPr>
        <w:t>.</w:t>
      </w:r>
    </w:p>
    <w:p w14:paraId="1E7A589D" w14:textId="77777777" w:rsidR="0014645F" w:rsidRPr="0014645F"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Se consideran valores de la misma especie y características aquellos que tienen las mismas características faciales, es decir, los emitidos por una misma entidad, pertenecientes a una misma emisión y serie, de idéntica fecha de emisión y vencimiento y de idéntica tasa facial y modalidad de pago de intereses cuando se trate de títulos de deuda o aquellos emitidos por una misma entidad y pertenecientes a una misma modalidad o clase de acciones, cuando se trate de títulos participativos.</w:t>
      </w:r>
    </w:p>
    <w:p w14:paraId="53CA5D89" w14:textId="33F09A2B" w:rsidR="0014645F" w:rsidRDefault="0014645F" w:rsidP="00FE47D3">
      <w:pPr>
        <w:autoSpaceDE w:val="0"/>
        <w:autoSpaceDN w:val="0"/>
        <w:spacing w:after="0" w:line="240" w:lineRule="auto"/>
        <w:jc w:val="both"/>
        <w:rPr>
          <w:rFonts w:ascii="Verdana" w:hAnsi="Verdana" w:cs="Arial"/>
          <w:b/>
          <w:bCs/>
          <w:sz w:val="20"/>
          <w:szCs w:val="20"/>
          <w:lang w:val="es-ES" w:eastAsia="es-ES"/>
        </w:rPr>
      </w:pPr>
      <w:r w:rsidRPr="00D63A7E">
        <w:rPr>
          <w:rFonts w:ascii="Verdana" w:hAnsi="Verdana" w:cs="Arial"/>
          <w:b/>
          <w:bCs/>
          <w:sz w:val="20"/>
          <w:szCs w:val="20"/>
          <w:lang w:val="es-ES" w:eastAsia="es-ES"/>
        </w:rPr>
        <w:t>Comisiones no atadas al resultado de las operaciones</w:t>
      </w:r>
    </w:p>
    <w:p w14:paraId="1D03335F" w14:textId="77777777" w:rsidR="00FE47D3" w:rsidRPr="0014645F" w:rsidRDefault="00FE47D3" w:rsidP="00FE47D3">
      <w:pPr>
        <w:autoSpaceDE w:val="0"/>
        <w:autoSpaceDN w:val="0"/>
        <w:spacing w:after="0" w:line="240" w:lineRule="auto"/>
        <w:jc w:val="both"/>
        <w:rPr>
          <w:rFonts w:ascii="Verdana" w:hAnsi="Verdana" w:cs="Arial"/>
          <w:b/>
          <w:bCs/>
          <w:sz w:val="20"/>
          <w:szCs w:val="20"/>
          <w:lang w:val="es-ES" w:eastAsia="es-ES"/>
        </w:rPr>
      </w:pPr>
    </w:p>
    <w:p w14:paraId="10242ECD" w14:textId="23A111A3"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11</w:t>
      </w:r>
      <w:r w:rsidRPr="00E14D62">
        <w:rPr>
          <w:rFonts w:ascii="Verdana" w:hAnsi="Verdana" w:cs="Arial"/>
          <w:bCs/>
          <w:sz w:val="20"/>
          <w:szCs w:val="20"/>
        </w:rPr>
        <w:t>.</w:t>
      </w:r>
    </w:p>
    <w:p w14:paraId="7FF6E02A" w14:textId="12976D03" w:rsidR="0014645F" w:rsidRPr="00FE47D3"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Para efectos de lo previsto en el numeral 3 del artículo 2.33.1.3.2. del Decreto 2555 de 2010, se entenderá que la remuneración de la sociedad autorizada no está vinculada al resultado de las operaciones, cuando la respectiva comisión no dependa directa o indirectamente de la utilidad, pérdida o rentabilidades que se obtengan para una o un conjunto de operaciones realizadas en un periodo de tiempo específico.</w:t>
      </w:r>
    </w:p>
    <w:p w14:paraId="3D02B44D" w14:textId="0580A432" w:rsidR="0014645F" w:rsidRPr="00D63A7E" w:rsidRDefault="0014645F" w:rsidP="00D63A7E">
      <w:pPr>
        <w:spacing w:line="240" w:lineRule="auto"/>
        <w:jc w:val="both"/>
        <w:rPr>
          <w:rFonts w:ascii="Verdana" w:hAnsi="Verdana" w:cs="Arial"/>
          <w:b/>
          <w:sz w:val="20"/>
          <w:szCs w:val="20"/>
          <w:lang w:val="es-ES" w:eastAsia="es-ES"/>
        </w:rPr>
      </w:pPr>
      <w:r w:rsidRPr="00D63A7E">
        <w:rPr>
          <w:rFonts w:ascii="Verdana" w:hAnsi="Verdana" w:cs="Arial"/>
          <w:b/>
          <w:sz w:val="20"/>
          <w:szCs w:val="20"/>
          <w:lang w:val="es-ES" w:eastAsia="es-ES"/>
        </w:rPr>
        <w:t xml:space="preserve">Cierre obligatorio de las posiciones abiertas </w:t>
      </w:r>
    </w:p>
    <w:p w14:paraId="752E5A6D" w14:textId="2D5C8B43"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12</w:t>
      </w:r>
      <w:r w:rsidRPr="00E14D62">
        <w:rPr>
          <w:rFonts w:ascii="Verdana" w:hAnsi="Verdana" w:cs="Arial"/>
          <w:bCs/>
          <w:sz w:val="20"/>
          <w:szCs w:val="20"/>
        </w:rPr>
        <w:t>.</w:t>
      </w:r>
    </w:p>
    <w:p w14:paraId="4504F97E" w14:textId="77777777" w:rsidR="0014645F" w:rsidRPr="0014645F" w:rsidRDefault="0014645F" w:rsidP="00E428E0">
      <w:pPr>
        <w:spacing w:line="240" w:lineRule="auto"/>
        <w:jc w:val="both"/>
        <w:rPr>
          <w:rFonts w:ascii="Verdana" w:hAnsi="Verdana" w:cs="Arial"/>
          <w:bCs/>
          <w:sz w:val="20"/>
          <w:szCs w:val="20"/>
          <w:lang w:val="es-ES" w:eastAsia="es-ES"/>
        </w:rPr>
      </w:pPr>
      <w:r w:rsidRPr="0014645F">
        <w:rPr>
          <w:rFonts w:ascii="Verdana" w:hAnsi="Verdana" w:cs="Arial"/>
          <w:bCs/>
          <w:sz w:val="20"/>
          <w:szCs w:val="20"/>
          <w:lang w:val="es-ES" w:eastAsia="es-ES"/>
        </w:rPr>
        <w:t>En los eventos de cierre obligatorio de las posiciones abiertas, tales como: cuando el margen requerido alcanza niveles por debajo de los mínimos establecidos en el artículo 2.33.1.2.5. del Decreto 2555 de 2010, o cuando el cliente no reconstituye el margen inicial, o por cualquier otra razón, el cierre de las posiciones se deberá realizar mediante la celebración de una operación de compra o venta en firme, según sea el caso.</w:t>
      </w:r>
    </w:p>
    <w:p w14:paraId="52574A87" w14:textId="2D7E4BF7"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13</w:t>
      </w:r>
      <w:r w:rsidRPr="00E14D62">
        <w:rPr>
          <w:rFonts w:ascii="Verdana" w:hAnsi="Verdana" w:cs="Arial"/>
          <w:bCs/>
          <w:sz w:val="20"/>
          <w:szCs w:val="20"/>
        </w:rPr>
        <w:t>.</w:t>
      </w:r>
    </w:p>
    <w:p w14:paraId="4DAE59C7" w14:textId="77777777" w:rsidR="0014645F" w:rsidRPr="0014645F" w:rsidRDefault="0014645F" w:rsidP="00E428E0">
      <w:pPr>
        <w:spacing w:line="240" w:lineRule="auto"/>
        <w:jc w:val="both"/>
        <w:rPr>
          <w:rFonts w:ascii="Verdana" w:hAnsi="Verdana" w:cs="Arial"/>
          <w:bCs/>
          <w:sz w:val="20"/>
          <w:szCs w:val="20"/>
          <w:lang w:val="es-ES" w:eastAsia="es-ES"/>
        </w:rPr>
      </w:pPr>
      <w:r w:rsidRPr="0014645F">
        <w:rPr>
          <w:rFonts w:ascii="Verdana" w:hAnsi="Verdana" w:cs="Arial"/>
          <w:bCs/>
          <w:sz w:val="20"/>
          <w:szCs w:val="20"/>
          <w:lang w:val="es-ES" w:eastAsia="es-ES"/>
        </w:rPr>
        <w:t>La liquidación temporal de las posiciones mediante la realización de operaciones repo, simultáneas y de transferencia temporal de valores no constituye cierre obligatorio de las posiciones abiertas en cuentas de margen.</w:t>
      </w:r>
    </w:p>
    <w:p w14:paraId="6CB03BA4" w14:textId="77777777" w:rsidR="0014645F" w:rsidRPr="0014645F" w:rsidRDefault="0014645F" w:rsidP="00E428E0">
      <w:pPr>
        <w:spacing w:line="240" w:lineRule="auto"/>
        <w:jc w:val="both"/>
        <w:rPr>
          <w:rFonts w:ascii="Verdana" w:hAnsi="Verdana" w:cs="Arial"/>
          <w:sz w:val="20"/>
          <w:szCs w:val="20"/>
          <w:lang w:val="es-ES" w:eastAsia="es-ES"/>
        </w:rPr>
      </w:pPr>
    </w:p>
    <w:p w14:paraId="3FECF0F3" w14:textId="38708082" w:rsidR="0014645F" w:rsidRPr="0014645F" w:rsidRDefault="00133925" w:rsidP="00E428E0">
      <w:pPr>
        <w:spacing w:line="240" w:lineRule="auto"/>
        <w:jc w:val="both"/>
        <w:rPr>
          <w:rFonts w:ascii="Verdana" w:hAnsi="Verdana" w:cs="Arial"/>
          <w:b/>
          <w:sz w:val="20"/>
          <w:szCs w:val="20"/>
          <w:lang w:val="es-ES" w:eastAsia="es-ES"/>
        </w:rPr>
      </w:pPr>
      <w:r w:rsidRPr="0014645F">
        <w:rPr>
          <w:rFonts w:ascii="Verdana" w:hAnsi="Verdana" w:cs="Arial"/>
          <w:b/>
          <w:sz w:val="20"/>
          <w:szCs w:val="20"/>
          <w:lang w:val="es-ES" w:eastAsia="es-ES"/>
        </w:rPr>
        <w:lastRenderedPageBreak/>
        <w:t>VALORES SOBRE LOS CUALES SE AUTORIZA LA REALIZACIÓN DE CUENTAS DE MARGEN</w:t>
      </w:r>
    </w:p>
    <w:p w14:paraId="613508C9" w14:textId="50F0925F"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14</w:t>
      </w:r>
      <w:r w:rsidRPr="00E14D62">
        <w:rPr>
          <w:rFonts w:ascii="Verdana" w:hAnsi="Verdana" w:cs="Arial"/>
          <w:bCs/>
          <w:sz w:val="20"/>
          <w:szCs w:val="20"/>
        </w:rPr>
        <w:t>.</w:t>
      </w:r>
    </w:p>
    <w:p w14:paraId="77BDD1CB" w14:textId="77777777" w:rsidR="0014645F" w:rsidRPr="0014645F"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 xml:space="preserve">De acuerdo con lo establecido en los artículos 2.33.1.1.3 y 2.33.1.2.1 del Decreto 2555 de 2010, únicamente se podrán realizar operaciones de cuentas de margen con los siguientes valores y márgenes mínimos: </w:t>
      </w:r>
    </w:p>
    <w:p w14:paraId="03B62271" w14:textId="244E6502" w:rsidR="0014645F" w:rsidRPr="00133925" w:rsidRDefault="0014645F" w:rsidP="00133925">
      <w:pPr>
        <w:spacing w:line="240" w:lineRule="auto"/>
        <w:jc w:val="both"/>
        <w:rPr>
          <w:b/>
          <w:bCs/>
          <w:lang w:val="es-ES" w:eastAsia="es-ES"/>
        </w:rPr>
      </w:pPr>
      <w:r w:rsidRPr="00133925">
        <w:rPr>
          <w:b/>
          <w:bCs/>
          <w:lang w:val="es-ES" w:eastAsia="es-ES"/>
        </w:rPr>
        <w:t>Valores de renta fija</w:t>
      </w:r>
    </w:p>
    <w:p w14:paraId="382C24EC" w14:textId="3049A0DF"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15</w:t>
      </w:r>
      <w:r w:rsidRPr="00E14D62">
        <w:rPr>
          <w:rFonts w:ascii="Verdana" w:hAnsi="Verdana" w:cs="Arial"/>
          <w:bCs/>
          <w:sz w:val="20"/>
          <w:szCs w:val="20"/>
        </w:rPr>
        <w:t>.</w:t>
      </w:r>
    </w:p>
    <w:p w14:paraId="1784D5D1" w14:textId="0D123632" w:rsidR="0014645F" w:rsidRPr="00133925" w:rsidRDefault="00133925" w:rsidP="003C03A6">
      <w:pPr>
        <w:spacing w:line="240" w:lineRule="auto"/>
        <w:jc w:val="both"/>
        <w:rPr>
          <w:rFonts w:ascii="Verdana" w:hAnsi="Verdana" w:cs="Arial"/>
          <w:sz w:val="20"/>
          <w:szCs w:val="20"/>
          <w:lang w:val="es-ES" w:eastAsia="es-ES"/>
        </w:rPr>
      </w:pPr>
      <w:r>
        <w:rPr>
          <w:rFonts w:ascii="Verdana" w:hAnsi="Verdana" w:cs="Arial"/>
          <w:sz w:val="20"/>
          <w:szCs w:val="20"/>
          <w:lang w:eastAsia="es-ES"/>
        </w:rPr>
        <w:t>Se pueden realizar operaciones de cuentas de margen sobre los siguientes valores de renta fija:</w:t>
      </w:r>
      <w:r w:rsidR="00E32C99">
        <w:rPr>
          <w:rFonts w:ascii="Verdana" w:hAnsi="Verdana" w:cs="Arial"/>
          <w:sz w:val="20"/>
          <w:szCs w:val="20"/>
          <w:lang w:eastAsia="es-ES"/>
        </w:rPr>
        <w:t xml:space="preserve"> (i) </w:t>
      </w:r>
      <w:r w:rsidR="0014645F" w:rsidRPr="00133925">
        <w:rPr>
          <w:rFonts w:ascii="Verdana" w:hAnsi="Verdana" w:cs="Arial"/>
          <w:sz w:val="20"/>
          <w:szCs w:val="20"/>
          <w:lang w:val="es-ES" w:eastAsia="es-ES"/>
        </w:rPr>
        <w:t xml:space="preserve">Títulos de tesorería TES Clase B con cotización obligatoria en el programa de creadores de mercado con un margen del 5%. </w:t>
      </w:r>
    </w:p>
    <w:p w14:paraId="7750047B" w14:textId="3B8D4DC6" w:rsidR="0014645F" w:rsidRPr="00065D69" w:rsidRDefault="0014645F" w:rsidP="00133925">
      <w:pPr>
        <w:spacing w:line="240" w:lineRule="auto"/>
        <w:jc w:val="both"/>
        <w:rPr>
          <w:b/>
          <w:bCs/>
          <w:lang w:val="es-ES" w:eastAsia="es-ES"/>
        </w:rPr>
      </w:pPr>
      <w:r w:rsidRPr="00065D69">
        <w:rPr>
          <w:b/>
          <w:bCs/>
          <w:lang w:val="es-ES" w:eastAsia="es-ES"/>
        </w:rPr>
        <w:t>Valores de renta variable</w:t>
      </w:r>
    </w:p>
    <w:p w14:paraId="1AA798B7" w14:textId="68624553" w:rsidR="00133925" w:rsidRPr="00E14D62" w:rsidRDefault="00133925" w:rsidP="00133925">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1</w:t>
      </w:r>
      <w:r w:rsidR="00CF2D38">
        <w:rPr>
          <w:rFonts w:ascii="Verdana" w:hAnsi="Verdana" w:cs="Arial"/>
          <w:bCs/>
          <w:sz w:val="20"/>
          <w:szCs w:val="20"/>
        </w:rPr>
        <w:t>6</w:t>
      </w:r>
      <w:r w:rsidRPr="00E14D62">
        <w:rPr>
          <w:rFonts w:ascii="Verdana" w:hAnsi="Verdana" w:cs="Arial"/>
          <w:bCs/>
          <w:sz w:val="20"/>
          <w:szCs w:val="20"/>
        </w:rPr>
        <w:t>.</w:t>
      </w:r>
    </w:p>
    <w:p w14:paraId="5598952C" w14:textId="5B0C4313" w:rsidR="0014645F" w:rsidRPr="00E32C99" w:rsidRDefault="00133925" w:rsidP="003C03A6">
      <w:pPr>
        <w:spacing w:line="240" w:lineRule="auto"/>
        <w:jc w:val="both"/>
        <w:rPr>
          <w:rFonts w:ascii="Verdana" w:hAnsi="Verdana" w:cs="Arial"/>
          <w:sz w:val="20"/>
          <w:szCs w:val="20"/>
          <w:lang w:eastAsia="es-ES"/>
        </w:rPr>
      </w:pPr>
      <w:r>
        <w:rPr>
          <w:rFonts w:ascii="Verdana" w:hAnsi="Verdana" w:cs="Arial"/>
          <w:sz w:val="20"/>
          <w:szCs w:val="20"/>
          <w:lang w:eastAsia="es-ES"/>
        </w:rPr>
        <w:t>Se pueden realizar operaciones de cuentas de margen sobre los siguientes valores de renta variable:</w:t>
      </w:r>
      <w:r w:rsidR="00E32C99">
        <w:rPr>
          <w:rFonts w:ascii="Verdana" w:hAnsi="Verdana" w:cs="Arial"/>
          <w:sz w:val="20"/>
          <w:szCs w:val="20"/>
          <w:lang w:eastAsia="es-ES"/>
        </w:rPr>
        <w:t xml:space="preserve"> (i) </w:t>
      </w:r>
      <w:r w:rsidR="0014645F" w:rsidRPr="00133925">
        <w:rPr>
          <w:rFonts w:ascii="Verdana" w:hAnsi="Verdana" w:cs="Arial"/>
          <w:sz w:val="20"/>
          <w:szCs w:val="20"/>
          <w:lang w:val="es-ES" w:eastAsia="es-ES"/>
        </w:rPr>
        <w:t>Acciones de alta bursatilidad con un margen mínimo del 50%</w:t>
      </w:r>
      <w:r w:rsidR="00A0608F">
        <w:rPr>
          <w:rFonts w:ascii="Verdana" w:hAnsi="Verdana" w:cs="Arial"/>
          <w:sz w:val="20"/>
          <w:szCs w:val="20"/>
          <w:lang w:val="es-ES" w:eastAsia="es-ES"/>
        </w:rPr>
        <w:t xml:space="preserve">. </w:t>
      </w:r>
      <w:r w:rsidR="0014645F" w:rsidRPr="00A0608F">
        <w:rPr>
          <w:rFonts w:ascii="Verdana" w:hAnsi="Verdana" w:cs="Arial"/>
          <w:sz w:val="20"/>
          <w:szCs w:val="20"/>
          <w:lang w:val="es-ES" w:eastAsia="es-ES"/>
        </w:rPr>
        <w:t>La bursatilidad aplicable será la última certificada por la SFC</w:t>
      </w:r>
    </w:p>
    <w:p w14:paraId="57B74116" w14:textId="34A18DCC" w:rsidR="00A0608F" w:rsidRPr="00E14D62" w:rsidRDefault="00A0608F" w:rsidP="00A0608F">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1</w:t>
      </w:r>
      <w:r w:rsidR="00CF2D38">
        <w:rPr>
          <w:rFonts w:ascii="Verdana" w:hAnsi="Verdana" w:cs="Arial"/>
          <w:bCs/>
          <w:sz w:val="20"/>
          <w:szCs w:val="20"/>
        </w:rPr>
        <w:t>7</w:t>
      </w:r>
      <w:r w:rsidRPr="00E14D62">
        <w:rPr>
          <w:rFonts w:ascii="Verdana" w:hAnsi="Verdana" w:cs="Arial"/>
          <w:bCs/>
          <w:sz w:val="20"/>
          <w:szCs w:val="20"/>
        </w:rPr>
        <w:t>.</w:t>
      </w:r>
    </w:p>
    <w:p w14:paraId="599F97EB" w14:textId="0AD50070" w:rsidR="0014645F" w:rsidRPr="00A0608F" w:rsidRDefault="0014645F" w:rsidP="00A0608F">
      <w:pPr>
        <w:spacing w:line="240" w:lineRule="auto"/>
        <w:jc w:val="both"/>
        <w:rPr>
          <w:rFonts w:ascii="Verdana" w:hAnsi="Verdana" w:cs="Arial"/>
          <w:sz w:val="20"/>
          <w:szCs w:val="20"/>
          <w:lang w:val="es-ES" w:eastAsia="es-ES"/>
        </w:rPr>
      </w:pPr>
      <w:r w:rsidRPr="00A0608F">
        <w:rPr>
          <w:rFonts w:ascii="Verdana" w:hAnsi="Verdana" w:cs="Arial"/>
          <w:sz w:val="20"/>
          <w:szCs w:val="20"/>
          <w:lang w:val="es-ES" w:eastAsia="es-ES"/>
        </w:rPr>
        <w:t xml:space="preserve">No se encuentran autorizadas operaciones de cuentas de margen sobre otros títulos o valores. </w:t>
      </w:r>
    </w:p>
    <w:p w14:paraId="7EE4D578" w14:textId="32C1DE61"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1</w:t>
      </w:r>
      <w:r w:rsidR="00CF2D38">
        <w:rPr>
          <w:rFonts w:ascii="Verdana" w:hAnsi="Verdana" w:cs="Arial"/>
          <w:bCs/>
          <w:sz w:val="20"/>
          <w:szCs w:val="20"/>
        </w:rPr>
        <w:t>8</w:t>
      </w:r>
      <w:r w:rsidRPr="00E14D62">
        <w:rPr>
          <w:rFonts w:ascii="Verdana" w:hAnsi="Verdana" w:cs="Arial"/>
          <w:bCs/>
          <w:sz w:val="20"/>
          <w:szCs w:val="20"/>
        </w:rPr>
        <w:t>.</w:t>
      </w:r>
    </w:p>
    <w:p w14:paraId="22D84D9D" w14:textId="0896E14E" w:rsidR="00F04201" w:rsidRDefault="0014645F" w:rsidP="00814E9D">
      <w:pPr>
        <w:tabs>
          <w:tab w:val="left" w:pos="540"/>
        </w:tabs>
        <w:spacing w:after="0"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 xml:space="preserve">Cuando los valores autorizados en los </w:t>
      </w:r>
      <w:r w:rsidR="00A76696">
        <w:rPr>
          <w:rFonts w:ascii="Verdana" w:hAnsi="Verdana" w:cs="Arial"/>
          <w:sz w:val="20"/>
          <w:szCs w:val="20"/>
          <w:lang w:val="es-ES" w:eastAsia="es-ES"/>
        </w:rPr>
        <w:t>párrafos</w:t>
      </w:r>
      <w:r w:rsidR="00A76696" w:rsidRPr="0014645F">
        <w:rPr>
          <w:rFonts w:ascii="Verdana" w:hAnsi="Verdana" w:cs="Arial"/>
          <w:sz w:val="20"/>
          <w:szCs w:val="20"/>
          <w:lang w:val="es-ES" w:eastAsia="es-ES"/>
        </w:rPr>
        <w:t xml:space="preserve"> </w:t>
      </w:r>
      <w:r w:rsidR="00814E9D" w:rsidRPr="00E14D62">
        <w:rPr>
          <w:rFonts w:ascii="Verdana" w:hAnsi="Verdana" w:cs="Arial"/>
          <w:bCs/>
          <w:sz w:val="20"/>
          <w:szCs w:val="20"/>
        </w:rPr>
        <w:t>3.7.3.</w:t>
      </w:r>
      <w:r w:rsidR="00814E9D">
        <w:rPr>
          <w:rFonts w:ascii="Verdana" w:hAnsi="Verdana" w:cs="Arial"/>
          <w:bCs/>
          <w:sz w:val="20"/>
          <w:szCs w:val="20"/>
        </w:rPr>
        <w:t>15</w:t>
      </w:r>
      <w:r w:rsidRPr="0014645F">
        <w:rPr>
          <w:rFonts w:ascii="Verdana" w:hAnsi="Verdana" w:cs="Arial"/>
          <w:sz w:val="20"/>
          <w:szCs w:val="20"/>
          <w:lang w:val="es-ES" w:eastAsia="es-ES"/>
        </w:rPr>
        <w:t>y</w:t>
      </w:r>
      <w:r w:rsidR="00814E9D">
        <w:rPr>
          <w:rFonts w:ascii="Verdana" w:hAnsi="Verdana" w:cs="Arial"/>
          <w:sz w:val="20"/>
          <w:szCs w:val="20"/>
          <w:lang w:val="es-ES" w:eastAsia="es-ES"/>
        </w:rPr>
        <w:t xml:space="preserve"> </w:t>
      </w:r>
      <w:r w:rsidR="00814E9D" w:rsidRPr="00E14D62">
        <w:rPr>
          <w:rFonts w:ascii="Verdana" w:hAnsi="Verdana" w:cs="Arial"/>
          <w:bCs/>
          <w:sz w:val="20"/>
          <w:szCs w:val="20"/>
        </w:rPr>
        <w:t>3.7.3.</w:t>
      </w:r>
      <w:r w:rsidR="00814E9D">
        <w:rPr>
          <w:rFonts w:ascii="Verdana" w:hAnsi="Verdana" w:cs="Arial"/>
          <w:bCs/>
          <w:sz w:val="20"/>
          <w:szCs w:val="20"/>
        </w:rPr>
        <w:t>16</w:t>
      </w:r>
      <w:r w:rsidR="00814E9D" w:rsidRPr="00E14D62">
        <w:rPr>
          <w:rFonts w:ascii="Verdana" w:hAnsi="Verdana" w:cs="Arial"/>
          <w:bCs/>
          <w:sz w:val="20"/>
          <w:szCs w:val="20"/>
        </w:rPr>
        <w:t>.</w:t>
      </w:r>
      <w:r w:rsidR="00814E9D">
        <w:rPr>
          <w:rFonts w:ascii="Verdana" w:hAnsi="Verdana" w:cs="Arial"/>
          <w:bCs/>
          <w:sz w:val="20"/>
          <w:szCs w:val="20"/>
        </w:rPr>
        <w:t xml:space="preserve"> </w:t>
      </w:r>
      <w:r w:rsidRPr="0014645F">
        <w:rPr>
          <w:rFonts w:ascii="Verdana" w:hAnsi="Verdana" w:cs="Arial"/>
          <w:sz w:val="20"/>
          <w:szCs w:val="20"/>
          <w:lang w:val="es-ES" w:eastAsia="es-ES"/>
        </w:rPr>
        <w:t xml:space="preserve">dejen de cumplir con las condiciones señaladas anteriormente, las sociedades autorizadas deberán desmontar ordenadamente las posiciones abiertas por cuentas de margen sobre los respectivos valores en un plazo máximo de un 1 mes contado a partir del momento en el que se dejan de cumplir las citadas condiciones. Lo anterior </w:t>
      </w:r>
      <w:r w:rsidR="003F3FF6">
        <w:rPr>
          <w:rFonts w:ascii="Verdana" w:hAnsi="Verdana" w:cs="Arial"/>
          <w:sz w:val="20"/>
          <w:szCs w:val="20"/>
          <w:lang w:val="es-ES" w:eastAsia="es-ES"/>
        </w:rPr>
        <w:t xml:space="preserve">no </w:t>
      </w:r>
      <w:r w:rsidRPr="0014645F">
        <w:rPr>
          <w:rFonts w:ascii="Verdana" w:hAnsi="Verdana" w:cs="Arial"/>
          <w:sz w:val="20"/>
          <w:szCs w:val="20"/>
          <w:lang w:val="es-ES" w:eastAsia="es-ES"/>
        </w:rPr>
        <w:t xml:space="preserve">autoriza </w:t>
      </w:r>
      <w:r w:rsidR="004670A5">
        <w:rPr>
          <w:rFonts w:ascii="Verdana" w:hAnsi="Verdana" w:cs="Arial"/>
          <w:sz w:val="20"/>
          <w:szCs w:val="20"/>
          <w:lang w:val="es-ES" w:eastAsia="es-ES"/>
        </w:rPr>
        <w:t xml:space="preserve">a la entidad para </w:t>
      </w:r>
      <w:r w:rsidRPr="0014645F">
        <w:rPr>
          <w:rFonts w:ascii="Verdana" w:hAnsi="Verdana" w:cs="Arial"/>
          <w:sz w:val="20"/>
          <w:szCs w:val="20"/>
          <w:lang w:val="es-ES" w:eastAsia="es-ES"/>
        </w:rPr>
        <w:t>abrir posiciones adicionales sobre estos valores.</w:t>
      </w:r>
    </w:p>
    <w:p w14:paraId="092E3F83" w14:textId="1F4E12A7" w:rsidR="0014645F" w:rsidRPr="0014645F" w:rsidRDefault="0014645F" w:rsidP="00814E9D">
      <w:pPr>
        <w:tabs>
          <w:tab w:val="left" w:pos="540"/>
        </w:tabs>
        <w:spacing w:after="0" w:line="240" w:lineRule="auto"/>
        <w:jc w:val="both"/>
        <w:rPr>
          <w:rFonts w:ascii="Verdana" w:hAnsi="Verdana" w:cs="Arial"/>
          <w:sz w:val="20"/>
          <w:szCs w:val="20"/>
          <w:lang w:val="es-ES" w:eastAsia="es-ES"/>
        </w:rPr>
      </w:pPr>
    </w:p>
    <w:p w14:paraId="1F7D9BFC" w14:textId="5A641890" w:rsidR="0014645F" w:rsidRPr="0014645F" w:rsidRDefault="00A0608F" w:rsidP="00E428E0">
      <w:pPr>
        <w:spacing w:line="240" w:lineRule="auto"/>
        <w:jc w:val="both"/>
        <w:rPr>
          <w:rFonts w:ascii="Verdana" w:hAnsi="Verdana" w:cs="Arial"/>
          <w:b/>
          <w:sz w:val="20"/>
          <w:szCs w:val="20"/>
          <w:lang w:val="es-ES" w:eastAsia="es-ES"/>
        </w:rPr>
      </w:pPr>
      <w:r w:rsidRPr="0014645F">
        <w:rPr>
          <w:rFonts w:ascii="Verdana" w:hAnsi="Verdana" w:cs="Arial"/>
          <w:b/>
          <w:sz w:val="20"/>
          <w:szCs w:val="20"/>
          <w:lang w:val="es-ES" w:eastAsia="es-ES"/>
        </w:rPr>
        <w:t>REGLAS APLICABLES A LAS SOCIEDADES AUTORIZADAS</w:t>
      </w:r>
    </w:p>
    <w:p w14:paraId="5521AC4E" w14:textId="1F3FD38E"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1</w:t>
      </w:r>
      <w:r w:rsidR="00CF2D38">
        <w:rPr>
          <w:rFonts w:ascii="Verdana" w:hAnsi="Verdana" w:cs="Arial"/>
          <w:bCs/>
          <w:sz w:val="20"/>
          <w:szCs w:val="20"/>
        </w:rPr>
        <w:t>9</w:t>
      </w:r>
      <w:r w:rsidRPr="00E14D62">
        <w:rPr>
          <w:rFonts w:ascii="Verdana" w:hAnsi="Verdana" w:cs="Arial"/>
          <w:bCs/>
          <w:sz w:val="20"/>
          <w:szCs w:val="20"/>
        </w:rPr>
        <w:t>.</w:t>
      </w:r>
    </w:p>
    <w:p w14:paraId="1EE99E09" w14:textId="1BD901AD" w:rsidR="0014645F" w:rsidRDefault="0014645F" w:rsidP="00A0608F">
      <w:pPr>
        <w:tabs>
          <w:tab w:val="left" w:pos="540"/>
        </w:tabs>
        <w:spacing w:after="0" w:line="240" w:lineRule="auto"/>
        <w:jc w:val="both"/>
        <w:rPr>
          <w:rFonts w:ascii="Verdana" w:hAnsi="Verdana" w:cs="Arial"/>
          <w:bCs/>
          <w:sz w:val="20"/>
          <w:szCs w:val="20"/>
        </w:rPr>
      </w:pPr>
      <w:r w:rsidRPr="001F6CED">
        <w:rPr>
          <w:rFonts w:ascii="Verdana" w:hAnsi="Verdana" w:cs="Arial"/>
          <w:sz w:val="20"/>
          <w:szCs w:val="20"/>
          <w:lang w:val="es-ES" w:eastAsia="es-ES"/>
        </w:rPr>
        <w:t xml:space="preserve">Para cumplir con la obligación prevista en el numeral 8 del artículo </w:t>
      </w:r>
      <w:bookmarkStart w:id="0" w:name="_Hlk167371454"/>
      <w:r w:rsidRPr="001F6CED">
        <w:rPr>
          <w:rFonts w:ascii="Verdana" w:hAnsi="Verdana" w:cs="Arial"/>
          <w:sz w:val="20"/>
          <w:szCs w:val="20"/>
          <w:lang w:val="es-ES" w:eastAsia="es-ES"/>
        </w:rPr>
        <w:t xml:space="preserve">2.33.1.3.2 </w:t>
      </w:r>
      <w:bookmarkEnd w:id="0"/>
      <w:r w:rsidRPr="001F6CED">
        <w:rPr>
          <w:rFonts w:ascii="Verdana" w:hAnsi="Verdana" w:cs="Arial"/>
          <w:sz w:val="20"/>
          <w:szCs w:val="20"/>
          <w:lang w:val="es-ES" w:eastAsia="es-ES"/>
        </w:rPr>
        <w:t xml:space="preserve">del Decreto 2555 de 2010, la sociedad autorizada deberá contar con una separación de funciones, para que exista independencia entre el operador de las instrucciones u órdenes de los clientes, y el encargado en el área de riesgos de confirmar la realización oportuna de los llamados al margen u ordenar el cierre obligatorio de las posiciones abiertas. Lo anterior deberá acreditarse de acuerdo con las certificaciones </w:t>
      </w:r>
      <w:r w:rsidR="00EC1C0D">
        <w:rPr>
          <w:rFonts w:ascii="Verdana" w:hAnsi="Verdana" w:cs="Arial"/>
          <w:sz w:val="20"/>
          <w:szCs w:val="20"/>
          <w:lang w:val="es-ES" w:eastAsia="es-ES"/>
        </w:rPr>
        <w:t>señaladas entre los párrafos 3.</w:t>
      </w:r>
      <w:r w:rsidR="00F91CA2">
        <w:rPr>
          <w:rFonts w:ascii="Verdana" w:hAnsi="Verdana" w:cs="Arial"/>
          <w:sz w:val="20"/>
          <w:szCs w:val="20"/>
          <w:lang w:val="es-ES" w:eastAsia="es-ES"/>
        </w:rPr>
        <w:t>7.3.22. y 3.7.3.</w:t>
      </w:r>
      <w:r w:rsidR="00611A81">
        <w:rPr>
          <w:rFonts w:ascii="Verdana" w:hAnsi="Verdana" w:cs="Arial"/>
          <w:sz w:val="20"/>
          <w:szCs w:val="20"/>
          <w:lang w:val="es-ES" w:eastAsia="es-ES"/>
        </w:rPr>
        <w:t>2</w:t>
      </w:r>
      <w:r w:rsidR="00F91CA2">
        <w:rPr>
          <w:rFonts w:ascii="Verdana" w:hAnsi="Verdana" w:cs="Arial"/>
          <w:sz w:val="20"/>
          <w:szCs w:val="20"/>
          <w:lang w:val="es-ES" w:eastAsia="es-ES"/>
        </w:rPr>
        <w:t xml:space="preserve">4. </w:t>
      </w:r>
    </w:p>
    <w:p w14:paraId="0A8D8C7A" w14:textId="77777777" w:rsidR="00A0608F" w:rsidRPr="00A0608F" w:rsidRDefault="00A0608F" w:rsidP="00A0608F">
      <w:pPr>
        <w:tabs>
          <w:tab w:val="left" w:pos="540"/>
        </w:tabs>
        <w:spacing w:after="0" w:line="240" w:lineRule="auto"/>
        <w:jc w:val="both"/>
        <w:rPr>
          <w:rFonts w:ascii="Verdana" w:hAnsi="Verdana" w:cs="Arial"/>
          <w:bCs/>
          <w:sz w:val="20"/>
          <w:szCs w:val="20"/>
        </w:rPr>
      </w:pPr>
    </w:p>
    <w:p w14:paraId="036070CD" w14:textId="2281B8AE" w:rsidR="0014645F" w:rsidRPr="0014645F" w:rsidRDefault="00A0608F" w:rsidP="00E428E0">
      <w:pPr>
        <w:spacing w:line="240" w:lineRule="auto"/>
        <w:jc w:val="both"/>
        <w:rPr>
          <w:rFonts w:ascii="Verdana" w:hAnsi="Verdana" w:cs="Arial"/>
          <w:b/>
          <w:sz w:val="20"/>
          <w:szCs w:val="20"/>
          <w:lang w:val="es-ES" w:eastAsia="es-ES"/>
        </w:rPr>
      </w:pPr>
      <w:r w:rsidRPr="0014645F">
        <w:rPr>
          <w:rFonts w:ascii="Verdana" w:hAnsi="Verdana" w:cs="Arial"/>
          <w:b/>
          <w:sz w:val="20"/>
          <w:szCs w:val="20"/>
          <w:lang w:val="es-ES" w:eastAsia="es-ES"/>
        </w:rPr>
        <w:t xml:space="preserve">REGLAS </w:t>
      </w:r>
      <w:r w:rsidR="00AC0BDA">
        <w:rPr>
          <w:rFonts w:ascii="Verdana" w:hAnsi="Verdana" w:cs="Arial"/>
          <w:b/>
          <w:sz w:val="20"/>
          <w:szCs w:val="20"/>
          <w:lang w:val="es-ES" w:eastAsia="es-ES"/>
        </w:rPr>
        <w:t xml:space="preserve">PARA </w:t>
      </w:r>
      <w:r w:rsidRPr="0014645F">
        <w:rPr>
          <w:rFonts w:ascii="Verdana" w:hAnsi="Verdana" w:cs="Arial"/>
          <w:b/>
          <w:sz w:val="20"/>
          <w:szCs w:val="20"/>
          <w:lang w:val="es-ES" w:eastAsia="es-ES"/>
        </w:rPr>
        <w:t>E</w:t>
      </w:r>
      <w:r w:rsidR="00AC0BDA">
        <w:rPr>
          <w:rFonts w:ascii="Verdana" w:hAnsi="Verdana" w:cs="Arial"/>
          <w:b/>
          <w:sz w:val="20"/>
          <w:szCs w:val="20"/>
          <w:lang w:val="es-ES" w:eastAsia="es-ES"/>
        </w:rPr>
        <w:t>L</w:t>
      </w:r>
      <w:r w:rsidRPr="0014645F">
        <w:rPr>
          <w:rFonts w:ascii="Verdana" w:hAnsi="Verdana" w:cs="Arial"/>
          <w:b/>
          <w:sz w:val="20"/>
          <w:szCs w:val="20"/>
          <w:lang w:val="es-ES" w:eastAsia="es-ES"/>
        </w:rPr>
        <w:t xml:space="preserve"> RECONOCIMIENTO </w:t>
      </w:r>
      <w:r w:rsidR="00AC0BDA">
        <w:rPr>
          <w:rFonts w:ascii="Verdana" w:hAnsi="Verdana" w:cs="Arial"/>
          <w:b/>
          <w:sz w:val="20"/>
          <w:szCs w:val="20"/>
          <w:lang w:val="es-ES" w:eastAsia="es-ES"/>
        </w:rPr>
        <w:t>D</w:t>
      </w:r>
      <w:r w:rsidRPr="0014645F">
        <w:rPr>
          <w:rFonts w:ascii="Verdana" w:hAnsi="Verdana" w:cs="Arial"/>
          <w:b/>
          <w:sz w:val="20"/>
          <w:szCs w:val="20"/>
          <w:lang w:val="es-ES" w:eastAsia="es-ES"/>
        </w:rPr>
        <w:t>E LA INFORMACIÓN FINANCIERA</w:t>
      </w:r>
    </w:p>
    <w:p w14:paraId="5CBFCEE2" w14:textId="09E912D2"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sidR="00CF2D38">
        <w:rPr>
          <w:rFonts w:ascii="Verdana" w:hAnsi="Verdana" w:cs="Arial"/>
          <w:bCs/>
          <w:sz w:val="20"/>
          <w:szCs w:val="20"/>
        </w:rPr>
        <w:t>20</w:t>
      </w:r>
      <w:r w:rsidRPr="00E14D62">
        <w:rPr>
          <w:rFonts w:ascii="Verdana" w:hAnsi="Verdana" w:cs="Arial"/>
          <w:bCs/>
          <w:sz w:val="20"/>
          <w:szCs w:val="20"/>
        </w:rPr>
        <w:t>.</w:t>
      </w:r>
    </w:p>
    <w:p w14:paraId="57C7CDDA" w14:textId="77777777" w:rsidR="0014645F" w:rsidRPr="0014645F"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El reconocimiento contable de las operaciones de cuentas de margen se realiza de acuerdo con las siguientes disposiciones:</w:t>
      </w:r>
    </w:p>
    <w:p w14:paraId="717EBA5F" w14:textId="77777777" w:rsidR="00D8541B" w:rsidRDefault="0014645F" w:rsidP="00E428E0">
      <w:pPr>
        <w:pStyle w:val="Prrafodelista"/>
        <w:numPr>
          <w:ilvl w:val="0"/>
          <w:numId w:val="5"/>
        </w:numPr>
        <w:spacing w:line="240" w:lineRule="auto"/>
        <w:ind w:left="567" w:hanging="567"/>
        <w:jc w:val="both"/>
        <w:rPr>
          <w:rFonts w:ascii="Verdana" w:hAnsi="Verdana" w:cs="Arial"/>
          <w:sz w:val="20"/>
          <w:szCs w:val="20"/>
          <w:lang w:val="es-ES" w:eastAsia="es-ES"/>
        </w:rPr>
      </w:pPr>
      <w:r w:rsidRPr="002D4874">
        <w:rPr>
          <w:rFonts w:ascii="Verdana" w:hAnsi="Verdana" w:cs="Arial"/>
          <w:sz w:val="20"/>
          <w:szCs w:val="20"/>
          <w:lang w:val="es-ES" w:eastAsia="es-ES"/>
        </w:rPr>
        <w:t xml:space="preserve">En las </w:t>
      </w:r>
      <w:r w:rsidRPr="002D4874">
        <w:rPr>
          <w:rFonts w:ascii="Verdana" w:hAnsi="Verdana" w:cs="Arial"/>
          <w:sz w:val="20"/>
          <w:szCs w:val="20"/>
          <w:lang w:val="es-ES" w:eastAsia="es-ES"/>
        </w:rPr>
        <w:t>sociedades comisionistas de bolsa de valore</w:t>
      </w:r>
      <w:r w:rsidRPr="002D4874">
        <w:rPr>
          <w:rFonts w:ascii="Verdana" w:hAnsi="Verdana" w:cs="Arial"/>
          <w:sz w:val="20"/>
          <w:szCs w:val="20"/>
          <w:lang w:val="es-ES" w:eastAsia="es-ES"/>
        </w:rPr>
        <w:t>s</w:t>
      </w:r>
      <w:r w:rsidR="00611A81">
        <w:rPr>
          <w:rFonts w:ascii="Verdana" w:hAnsi="Verdana" w:cs="Arial"/>
          <w:sz w:val="20"/>
          <w:szCs w:val="20"/>
          <w:lang w:val="es-ES" w:eastAsia="es-ES"/>
        </w:rPr>
        <w:t>,</w:t>
      </w:r>
      <w:r w:rsidRPr="002D4874">
        <w:rPr>
          <w:rFonts w:ascii="Verdana" w:hAnsi="Verdana" w:cs="Arial"/>
          <w:sz w:val="20"/>
          <w:szCs w:val="20"/>
          <w:lang w:val="es-ES" w:eastAsia="es-ES"/>
        </w:rPr>
        <w:t xml:space="preserve"> </w:t>
      </w:r>
      <w:r w:rsidRPr="002D4874">
        <w:rPr>
          <w:rFonts w:ascii="Verdana" w:hAnsi="Verdana" w:cs="Arial"/>
          <w:sz w:val="20"/>
          <w:szCs w:val="20"/>
          <w:lang w:val="es-ES" w:eastAsia="es-ES"/>
        </w:rPr>
        <w:t xml:space="preserve">las posiciones abiertas por cuentas de margen se contabilizarán y se reportarán de conformidad con las reglas contables aplicables al contrato de comisión </w:t>
      </w:r>
      <w:r w:rsidR="00611A81">
        <w:rPr>
          <w:rFonts w:ascii="Verdana" w:hAnsi="Verdana" w:cs="Arial"/>
          <w:sz w:val="20"/>
          <w:szCs w:val="20"/>
          <w:lang w:val="es-ES" w:eastAsia="es-ES"/>
        </w:rPr>
        <w:t>o</w:t>
      </w:r>
      <w:r w:rsidRPr="002D4874">
        <w:rPr>
          <w:rFonts w:ascii="Verdana" w:hAnsi="Verdana" w:cs="Arial"/>
          <w:sz w:val="20"/>
          <w:szCs w:val="20"/>
          <w:lang w:val="es-ES" w:eastAsia="es-ES"/>
        </w:rPr>
        <w:t xml:space="preserve"> </w:t>
      </w:r>
      <w:r w:rsidR="00A6338F" w:rsidRPr="00A6338F">
        <w:rPr>
          <w:rFonts w:ascii="Verdana" w:hAnsi="Verdana" w:cs="Arial"/>
          <w:sz w:val="20"/>
          <w:szCs w:val="20"/>
          <w:lang w:val="es-ES" w:eastAsia="es-ES"/>
        </w:rPr>
        <w:t xml:space="preserve">de acuerdo </w:t>
      </w:r>
      <w:r w:rsidR="001350FE">
        <w:rPr>
          <w:rFonts w:ascii="Verdana" w:hAnsi="Verdana" w:cs="Arial"/>
          <w:sz w:val="20"/>
          <w:szCs w:val="20"/>
          <w:lang w:val="es-ES" w:eastAsia="es-ES"/>
        </w:rPr>
        <w:t xml:space="preserve">con </w:t>
      </w:r>
      <w:r w:rsidR="00A6338F" w:rsidRPr="00A6338F">
        <w:rPr>
          <w:rFonts w:ascii="Verdana" w:hAnsi="Verdana" w:cs="Arial"/>
          <w:sz w:val="20"/>
          <w:szCs w:val="20"/>
          <w:lang w:val="es-ES" w:eastAsia="es-ES"/>
        </w:rPr>
        <w:t xml:space="preserve">las reglas </w:t>
      </w:r>
      <w:r w:rsidR="001350FE">
        <w:rPr>
          <w:rFonts w:ascii="Verdana" w:hAnsi="Verdana" w:cs="Arial"/>
          <w:sz w:val="20"/>
          <w:szCs w:val="20"/>
          <w:lang w:val="es-ES" w:eastAsia="es-ES"/>
        </w:rPr>
        <w:t xml:space="preserve">aplicables </w:t>
      </w:r>
      <w:r w:rsidR="00A6338F" w:rsidRPr="00A6338F">
        <w:rPr>
          <w:rFonts w:ascii="Verdana" w:hAnsi="Verdana" w:cs="Arial"/>
          <w:sz w:val="20"/>
          <w:szCs w:val="20"/>
          <w:lang w:val="es-ES" w:eastAsia="es-ES"/>
        </w:rPr>
        <w:t>para la administración de portafolio</w:t>
      </w:r>
      <w:r w:rsidR="001350FE">
        <w:rPr>
          <w:rFonts w:ascii="Verdana" w:hAnsi="Verdana" w:cs="Arial"/>
          <w:sz w:val="20"/>
          <w:szCs w:val="20"/>
          <w:lang w:val="es-ES" w:eastAsia="es-ES"/>
        </w:rPr>
        <w:t>s</w:t>
      </w:r>
      <w:r w:rsidR="00A6338F" w:rsidRPr="00A6338F">
        <w:rPr>
          <w:rFonts w:ascii="Verdana" w:hAnsi="Verdana" w:cs="Arial"/>
          <w:sz w:val="20"/>
          <w:szCs w:val="20"/>
          <w:lang w:val="es-ES" w:eastAsia="es-ES"/>
        </w:rPr>
        <w:t xml:space="preserve"> de terceros</w:t>
      </w:r>
      <w:r w:rsidR="00611A81">
        <w:rPr>
          <w:rFonts w:ascii="Verdana" w:hAnsi="Verdana" w:cs="Arial"/>
          <w:sz w:val="20"/>
          <w:szCs w:val="20"/>
          <w:lang w:val="es-ES" w:eastAsia="es-ES"/>
        </w:rPr>
        <w:t xml:space="preserve"> previstas en la CBF</w:t>
      </w:r>
      <w:r w:rsidRPr="002D4874">
        <w:rPr>
          <w:rFonts w:ascii="Verdana" w:hAnsi="Verdana" w:cs="Arial"/>
          <w:sz w:val="20"/>
          <w:szCs w:val="20"/>
          <w:lang w:val="es-ES" w:eastAsia="es-ES"/>
        </w:rPr>
        <w:t>.</w:t>
      </w:r>
      <w:r w:rsidR="002D4874" w:rsidRPr="002D4874">
        <w:rPr>
          <w:rFonts w:ascii="Verdana" w:hAnsi="Verdana" w:cs="Arial"/>
          <w:sz w:val="20"/>
          <w:szCs w:val="20"/>
          <w:lang w:val="es-ES" w:eastAsia="es-ES"/>
        </w:rPr>
        <w:t xml:space="preserve"> </w:t>
      </w:r>
      <w:r w:rsidRPr="002D4874">
        <w:rPr>
          <w:rFonts w:ascii="Verdana" w:hAnsi="Verdana" w:cs="Arial"/>
          <w:sz w:val="20"/>
          <w:szCs w:val="20"/>
          <w:lang w:val="es-ES" w:eastAsia="es-ES"/>
        </w:rPr>
        <w:t xml:space="preserve">En todos los </w:t>
      </w:r>
      <w:r w:rsidRPr="002D4874">
        <w:rPr>
          <w:rFonts w:ascii="Verdana" w:hAnsi="Verdana" w:cs="Arial"/>
          <w:sz w:val="20"/>
          <w:szCs w:val="20"/>
          <w:lang w:val="es-ES" w:eastAsia="es-ES"/>
        </w:rPr>
        <w:t xml:space="preserve">casos, el nombre o razón social del cliente deberá ir antecedido del prefijo OCM que indica que </w:t>
      </w:r>
      <w:r w:rsidRPr="002D4874">
        <w:rPr>
          <w:rFonts w:ascii="Verdana" w:hAnsi="Verdana" w:cs="Arial"/>
          <w:sz w:val="20"/>
          <w:szCs w:val="20"/>
          <w:lang w:val="es-ES" w:eastAsia="es-ES"/>
        </w:rPr>
        <w:t>dicha contabilidad corresponde a operaciones de cuentas de margen</w:t>
      </w:r>
      <w:r w:rsidR="00611A81">
        <w:rPr>
          <w:rFonts w:ascii="Verdana" w:hAnsi="Verdana" w:cs="Arial"/>
          <w:sz w:val="20"/>
          <w:szCs w:val="20"/>
          <w:lang w:val="es-ES" w:eastAsia="es-ES"/>
        </w:rPr>
        <w:t>.</w:t>
      </w:r>
    </w:p>
    <w:p w14:paraId="6D297DDE" w14:textId="77777777" w:rsidR="00D8541B" w:rsidRDefault="00D8541B" w:rsidP="00D8541B">
      <w:pPr>
        <w:pStyle w:val="Prrafodelista"/>
        <w:spacing w:line="240" w:lineRule="auto"/>
        <w:ind w:left="567"/>
        <w:jc w:val="both"/>
        <w:rPr>
          <w:rFonts w:ascii="Verdana" w:hAnsi="Verdana" w:cs="Arial"/>
          <w:sz w:val="20"/>
          <w:szCs w:val="20"/>
          <w:lang w:val="es-ES" w:eastAsia="es-ES"/>
        </w:rPr>
      </w:pPr>
    </w:p>
    <w:p w14:paraId="5DA6EE05" w14:textId="25C0B697" w:rsidR="00D8541B" w:rsidRPr="00D8541B" w:rsidRDefault="0014645F" w:rsidP="00E428E0">
      <w:pPr>
        <w:pStyle w:val="Prrafodelista"/>
        <w:numPr>
          <w:ilvl w:val="0"/>
          <w:numId w:val="5"/>
        </w:numPr>
        <w:spacing w:line="240" w:lineRule="auto"/>
        <w:ind w:left="567" w:hanging="567"/>
        <w:jc w:val="both"/>
        <w:rPr>
          <w:rFonts w:ascii="Verdana" w:hAnsi="Verdana" w:cs="Arial"/>
          <w:sz w:val="20"/>
          <w:szCs w:val="20"/>
          <w:lang w:val="es-ES" w:eastAsia="es-ES"/>
        </w:rPr>
      </w:pPr>
      <w:r w:rsidRPr="00D8541B">
        <w:rPr>
          <w:rFonts w:ascii="Verdana" w:hAnsi="Verdana" w:cs="Arial"/>
          <w:sz w:val="20"/>
          <w:szCs w:val="20"/>
          <w:lang w:val="es-ES" w:eastAsia="es-ES"/>
        </w:rPr>
        <w:t>En las sociedades fiduciarias, las posiciones abiertas por cuentas de margen se contabilizarán y reportarán de conformidad con l</w:t>
      </w:r>
      <w:r w:rsidR="00312AC3" w:rsidRPr="00D8541B">
        <w:rPr>
          <w:rFonts w:ascii="Verdana" w:hAnsi="Verdana" w:cs="Arial"/>
          <w:sz w:val="20"/>
          <w:szCs w:val="20"/>
          <w:lang w:val="es-ES" w:eastAsia="es-ES"/>
        </w:rPr>
        <w:t>o</w:t>
      </w:r>
      <w:r w:rsidRPr="00D8541B">
        <w:rPr>
          <w:rFonts w:ascii="Verdana" w:hAnsi="Verdana" w:cs="Arial"/>
          <w:sz w:val="20"/>
          <w:szCs w:val="20"/>
          <w:lang w:val="es-ES" w:eastAsia="es-ES"/>
        </w:rPr>
        <w:t xml:space="preserve">s </w:t>
      </w:r>
      <w:r w:rsidR="00312AC3" w:rsidRPr="00D8541B">
        <w:rPr>
          <w:rFonts w:ascii="Verdana" w:hAnsi="Verdana" w:cs="Arial"/>
          <w:sz w:val="20"/>
          <w:szCs w:val="20"/>
          <w:lang w:val="es-ES" w:eastAsia="es-ES"/>
        </w:rPr>
        <w:t xml:space="preserve">requisitos técnicos </w:t>
      </w:r>
      <w:r w:rsidR="00923DC3" w:rsidRPr="00D8541B">
        <w:rPr>
          <w:rFonts w:ascii="Verdana" w:hAnsi="Verdana" w:cs="Arial"/>
          <w:sz w:val="20"/>
          <w:szCs w:val="20"/>
          <w:lang w:val="es-ES" w:eastAsia="es-ES"/>
        </w:rPr>
        <w:t xml:space="preserve">aplicables a </w:t>
      </w:r>
      <w:r w:rsidR="00D462ED" w:rsidRPr="00D8541B">
        <w:rPr>
          <w:rFonts w:ascii="Verdana" w:hAnsi="Verdana" w:cs="Arial"/>
          <w:sz w:val="20"/>
          <w:szCs w:val="20"/>
          <w:lang w:val="es-ES" w:eastAsia="es-ES"/>
        </w:rPr>
        <w:t xml:space="preserve">cada tipo de </w:t>
      </w:r>
      <w:r w:rsidR="00AC54A3" w:rsidRPr="00D8541B">
        <w:rPr>
          <w:rFonts w:ascii="Verdana" w:hAnsi="Verdana" w:cs="Arial"/>
          <w:sz w:val="20"/>
          <w:szCs w:val="20"/>
          <w:lang w:val="es-ES" w:eastAsia="es-ES"/>
        </w:rPr>
        <w:t>negocio fiduciario</w:t>
      </w:r>
      <w:r w:rsidR="00D8541B" w:rsidRPr="00D8541B">
        <w:rPr>
          <w:rFonts w:ascii="Verdana" w:hAnsi="Verdana" w:cs="Arial"/>
          <w:sz w:val="20"/>
          <w:szCs w:val="20"/>
          <w:lang w:val="es-ES" w:eastAsia="es-ES"/>
        </w:rPr>
        <w:t>, según las instrucciones de la CBF</w:t>
      </w:r>
      <w:r w:rsidRPr="00D8541B">
        <w:rPr>
          <w:rFonts w:ascii="Verdana" w:hAnsi="Verdana" w:cs="Arial"/>
          <w:sz w:val="20"/>
          <w:szCs w:val="20"/>
          <w:lang w:val="es-ES" w:eastAsia="es-ES"/>
        </w:rPr>
        <w:t>.</w:t>
      </w:r>
      <w:r w:rsidR="002D4874" w:rsidRPr="00D8541B">
        <w:rPr>
          <w:rFonts w:ascii="Verdana" w:hAnsi="Verdana" w:cs="Arial"/>
          <w:sz w:val="20"/>
          <w:szCs w:val="20"/>
          <w:lang w:val="es-ES" w:eastAsia="es-ES"/>
        </w:rPr>
        <w:t xml:space="preserve"> </w:t>
      </w:r>
      <w:r w:rsidRPr="00D8541B">
        <w:rPr>
          <w:rFonts w:ascii="Verdana" w:hAnsi="Verdana" w:cs="Arial"/>
          <w:sz w:val="20"/>
          <w:szCs w:val="20"/>
          <w:lang w:val="es-ES" w:eastAsia="es-ES"/>
        </w:rPr>
        <w:t xml:space="preserve">En todos los casos, el nombre o razón social del cliente deberá ir antecedido del prefijo OCM que indica que dicha contabilidad corresponde a operaciones de cuentas de margen. </w:t>
      </w:r>
    </w:p>
    <w:p w14:paraId="7E725F39" w14:textId="68062D53" w:rsidR="0014645F" w:rsidRPr="00CF2D38" w:rsidRDefault="00CF2D38" w:rsidP="00E428E0">
      <w:pPr>
        <w:spacing w:line="240" w:lineRule="auto"/>
        <w:jc w:val="both"/>
        <w:rPr>
          <w:rFonts w:ascii="Verdana" w:hAnsi="Verdana" w:cs="Arial"/>
          <w:b/>
          <w:sz w:val="20"/>
          <w:szCs w:val="20"/>
          <w:lang w:val="es-ES" w:eastAsia="es-ES"/>
        </w:rPr>
      </w:pPr>
      <w:r w:rsidRPr="0014645F">
        <w:rPr>
          <w:rFonts w:ascii="Verdana" w:hAnsi="Verdana" w:cs="Arial"/>
          <w:b/>
          <w:sz w:val="20"/>
          <w:szCs w:val="20"/>
          <w:lang w:val="es-ES" w:eastAsia="es-ES"/>
        </w:rPr>
        <w:t xml:space="preserve">REMISIÓN DE </w:t>
      </w:r>
      <w:r w:rsidR="00002110">
        <w:rPr>
          <w:rFonts w:ascii="Verdana" w:hAnsi="Verdana" w:cs="Arial"/>
          <w:b/>
          <w:sz w:val="20"/>
          <w:szCs w:val="20"/>
          <w:lang w:val="es-ES" w:eastAsia="es-ES"/>
        </w:rPr>
        <w:t xml:space="preserve">LOS </w:t>
      </w:r>
      <w:r w:rsidRPr="0014645F">
        <w:rPr>
          <w:rFonts w:ascii="Verdana" w:hAnsi="Verdana" w:cs="Arial"/>
          <w:b/>
          <w:sz w:val="20"/>
          <w:szCs w:val="20"/>
          <w:lang w:val="es-ES" w:eastAsia="es-ES"/>
        </w:rPr>
        <w:t>CONTRATOS MARCO A LA SFC</w:t>
      </w:r>
    </w:p>
    <w:p w14:paraId="23000B5D" w14:textId="0E33FD7B"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sidR="00CF2D38">
        <w:rPr>
          <w:rFonts w:ascii="Verdana" w:hAnsi="Verdana" w:cs="Arial"/>
          <w:bCs/>
          <w:sz w:val="20"/>
          <w:szCs w:val="20"/>
        </w:rPr>
        <w:t>21</w:t>
      </w:r>
      <w:r w:rsidRPr="00E14D62">
        <w:rPr>
          <w:rFonts w:ascii="Verdana" w:hAnsi="Verdana" w:cs="Arial"/>
          <w:bCs/>
          <w:sz w:val="20"/>
          <w:szCs w:val="20"/>
        </w:rPr>
        <w:t>.</w:t>
      </w:r>
    </w:p>
    <w:p w14:paraId="3429A106" w14:textId="560F47DD" w:rsidR="00002110" w:rsidRPr="0014645F"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Sin perjuicio de las normas especiales que requieran de la aprobación de modelos de contrato, según el caso, las sociedades autorizadas para realizar cuentas de margen deberán remitir a la SFC los modelos de contrato marco para la ejecución de cuentas de margen. De acuerdo con el numeral 2 del artículo 2.33.1.3.2. del Decreto 2555 de 2010, la SFC podrá requerir ajustes a los modelos de contrato en cualquier momento.</w:t>
      </w:r>
    </w:p>
    <w:p w14:paraId="71A78407" w14:textId="7C11191F" w:rsidR="0014645F" w:rsidRPr="00CF2D38" w:rsidRDefault="00CF2D38" w:rsidP="00E428E0">
      <w:pPr>
        <w:spacing w:line="240" w:lineRule="auto"/>
        <w:jc w:val="both"/>
        <w:rPr>
          <w:rFonts w:ascii="Verdana" w:hAnsi="Verdana" w:cs="Arial"/>
          <w:b/>
          <w:sz w:val="20"/>
          <w:szCs w:val="20"/>
          <w:lang w:val="es-ES" w:eastAsia="es-ES"/>
        </w:rPr>
      </w:pPr>
      <w:r w:rsidRPr="0014645F">
        <w:rPr>
          <w:rFonts w:ascii="Verdana" w:hAnsi="Verdana" w:cs="Arial"/>
          <w:b/>
          <w:sz w:val="20"/>
          <w:szCs w:val="20"/>
          <w:lang w:val="es-ES" w:eastAsia="es-ES"/>
        </w:rPr>
        <w:lastRenderedPageBreak/>
        <w:t>ACREDITACIÓN DE REQUISITOS</w:t>
      </w:r>
    </w:p>
    <w:p w14:paraId="4BE03BDD" w14:textId="636D0E82"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2</w:t>
      </w:r>
      <w:r w:rsidR="00CF2D38">
        <w:rPr>
          <w:rFonts w:ascii="Verdana" w:hAnsi="Verdana" w:cs="Arial"/>
          <w:bCs/>
          <w:sz w:val="20"/>
          <w:szCs w:val="20"/>
        </w:rPr>
        <w:t>2</w:t>
      </w:r>
      <w:r w:rsidRPr="00E14D62">
        <w:rPr>
          <w:rFonts w:ascii="Verdana" w:hAnsi="Verdana" w:cs="Arial"/>
          <w:bCs/>
          <w:sz w:val="20"/>
          <w:szCs w:val="20"/>
        </w:rPr>
        <w:t>.</w:t>
      </w:r>
    </w:p>
    <w:p w14:paraId="42810371" w14:textId="1771E637" w:rsidR="0014645F" w:rsidRPr="0014645F"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 xml:space="preserve">En virtud de lo previsto en el parágrafo del artículo 2.33.1.3.2. del Decreto 2555 de 2010, los representantes legales de las sociedades autorizadas </w:t>
      </w:r>
      <w:r w:rsidR="004816A9">
        <w:rPr>
          <w:rFonts w:ascii="Verdana" w:hAnsi="Verdana" w:cs="Arial"/>
          <w:sz w:val="20"/>
          <w:szCs w:val="20"/>
          <w:lang w:val="es-ES" w:eastAsia="es-ES"/>
        </w:rPr>
        <w:t xml:space="preserve">para el desarrollo de cuentas de </w:t>
      </w:r>
      <w:r w:rsidR="001753E1">
        <w:rPr>
          <w:rFonts w:ascii="Verdana" w:hAnsi="Verdana" w:cs="Arial"/>
          <w:sz w:val="20"/>
          <w:szCs w:val="20"/>
          <w:lang w:val="es-ES" w:eastAsia="es-ES"/>
        </w:rPr>
        <w:t>margen</w:t>
      </w:r>
      <w:r w:rsidR="004816A9">
        <w:rPr>
          <w:rFonts w:ascii="Verdana" w:hAnsi="Verdana" w:cs="Arial"/>
          <w:sz w:val="20"/>
          <w:szCs w:val="20"/>
          <w:lang w:val="es-ES" w:eastAsia="es-ES"/>
        </w:rPr>
        <w:t xml:space="preserve"> </w:t>
      </w:r>
      <w:r w:rsidRPr="0014645F">
        <w:rPr>
          <w:rFonts w:ascii="Verdana" w:hAnsi="Verdana" w:cs="Arial"/>
          <w:sz w:val="20"/>
          <w:szCs w:val="20"/>
          <w:lang w:val="es-ES" w:eastAsia="es-ES"/>
        </w:rPr>
        <w:t xml:space="preserve">deben remitir a la SFC una certificación en la cual se acredite y emita una declaración sobre el cumplimiento de los requisitos señalados en el libro 33 de la parte 2 del Decreto 2555 de 2010, para la celebración de cuentas de margen. </w:t>
      </w:r>
    </w:p>
    <w:p w14:paraId="0EBE9623" w14:textId="4B8718A3"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2</w:t>
      </w:r>
      <w:r w:rsidR="00CF2D38">
        <w:rPr>
          <w:rFonts w:ascii="Verdana" w:hAnsi="Verdana" w:cs="Arial"/>
          <w:bCs/>
          <w:sz w:val="20"/>
          <w:szCs w:val="20"/>
        </w:rPr>
        <w:t>3</w:t>
      </w:r>
      <w:r w:rsidRPr="00E14D62">
        <w:rPr>
          <w:rFonts w:ascii="Verdana" w:hAnsi="Verdana" w:cs="Arial"/>
          <w:bCs/>
          <w:sz w:val="20"/>
          <w:szCs w:val="20"/>
        </w:rPr>
        <w:t>.</w:t>
      </w:r>
    </w:p>
    <w:p w14:paraId="1615E9C7" w14:textId="7227ABF2" w:rsidR="0014645F" w:rsidRPr="0014645F"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 xml:space="preserve">Así mismo, cada sociedad autorizada deberá remitir copia del acta en la que conste la aprobación de la junta directiva </w:t>
      </w:r>
      <w:r w:rsidR="003E7057">
        <w:rPr>
          <w:rFonts w:ascii="Verdana" w:hAnsi="Verdana" w:cs="Arial"/>
          <w:sz w:val="20"/>
          <w:szCs w:val="20"/>
          <w:lang w:val="es-ES" w:eastAsia="es-ES"/>
        </w:rPr>
        <w:t xml:space="preserve">de la entidad </w:t>
      </w:r>
      <w:r w:rsidRPr="0014645F">
        <w:rPr>
          <w:rFonts w:ascii="Verdana" w:hAnsi="Verdana" w:cs="Arial"/>
          <w:sz w:val="20"/>
          <w:szCs w:val="20"/>
          <w:lang w:val="es-ES" w:eastAsia="es-ES"/>
        </w:rPr>
        <w:t xml:space="preserve">para el desarrollo de las operaciones de cuenta de margen. </w:t>
      </w:r>
    </w:p>
    <w:p w14:paraId="5A20A198" w14:textId="716953B4"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2</w:t>
      </w:r>
      <w:r w:rsidR="00CF2D38">
        <w:rPr>
          <w:rFonts w:ascii="Verdana" w:hAnsi="Verdana" w:cs="Arial"/>
          <w:bCs/>
          <w:sz w:val="20"/>
          <w:szCs w:val="20"/>
        </w:rPr>
        <w:t>4</w:t>
      </w:r>
      <w:r w:rsidRPr="00E14D62">
        <w:rPr>
          <w:rFonts w:ascii="Verdana" w:hAnsi="Verdana" w:cs="Arial"/>
          <w:bCs/>
          <w:sz w:val="20"/>
          <w:szCs w:val="20"/>
        </w:rPr>
        <w:t>.</w:t>
      </w:r>
    </w:p>
    <w:p w14:paraId="2993935E" w14:textId="706CCF62" w:rsidR="0014645F" w:rsidRPr="0014645F"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 xml:space="preserve">En desarrollo de lo previsto en el numeral 18 del artículo 2.33.1.3.2. del Decreto 2555 de 2010, la información diaria a los clientes sobre el movimiento y resultado de las cuentas de margen deberá ser enviada a más tardar a las 10 a.m. del siguiente día hábil al cual se desarrollaron las operaciones. En todo caso, la sociedad autorizada deberá dejar soporte del correspondiente envío de la información señalada y del contenido de </w:t>
      </w:r>
      <w:r w:rsidR="00A21AE6" w:rsidRPr="0014645F">
        <w:rPr>
          <w:rFonts w:ascii="Verdana" w:hAnsi="Verdana" w:cs="Arial"/>
          <w:sz w:val="20"/>
          <w:szCs w:val="20"/>
          <w:lang w:val="es-ES" w:eastAsia="es-ES"/>
        </w:rPr>
        <w:t>esta, a través de cualquier medio verificable.</w:t>
      </w:r>
      <w:r w:rsidR="00A21AE6">
        <w:rPr>
          <w:rFonts w:ascii="Verdana" w:hAnsi="Verdana" w:cs="Arial"/>
          <w:sz w:val="20"/>
          <w:szCs w:val="20"/>
          <w:lang w:val="es-ES" w:eastAsia="es-ES"/>
        </w:rPr>
        <w:t xml:space="preserve"> </w:t>
      </w:r>
    </w:p>
    <w:p w14:paraId="1D893F76" w14:textId="35C8EACF" w:rsidR="0014645F" w:rsidRPr="0014645F" w:rsidRDefault="007C7114" w:rsidP="00E428E0">
      <w:pPr>
        <w:spacing w:line="240" w:lineRule="auto"/>
        <w:jc w:val="both"/>
        <w:rPr>
          <w:rFonts w:ascii="Verdana" w:hAnsi="Verdana" w:cs="Arial"/>
          <w:b/>
          <w:sz w:val="20"/>
          <w:szCs w:val="20"/>
          <w:lang w:val="es-ES" w:eastAsia="es-ES"/>
        </w:rPr>
      </w:pPr>
      <w:r>
        <w:rPr>
          <w:rFonts w:ascii="Verdana" w:hAnsi="Verdana" w:cs="Arial"/>
          <w:b/>
          <w:sz w:val="20"/>
          <w:szCs w:val="20"/>
          <w:lang w:val="es-ES" w:eastAsia="es-ES"/>
        </w:rPr>
        <w:t>ALCANCE</w:t>
      </w:r>
      <w:r w:rsidR="00CF2D38" w:rsidRPr="0014645F">
        <w:rPr>
          <w:rFonts w:ascii="Verdana" w:hAnsi="Verdana" w:cs="Arial"/>
          <w:b/>
          <w:sz w:val="20"/>
          <w:szCs w:val="20"/>
          <w:lang w:val="es-ES" w:eastAsia="es-ES"/>
        </w:rPr>
        <w:t xml:space="preserve"> DE LAS OPERACIONES DE CUENTAS DE MARGEN</w:t>
      </w:r>
    </w:p>
    <w:p w14:paraId="1C7C3B6F" w14:textId="5F81BDA4"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2</w:t>
      </w:r>
      <w:r w:rsidR="004A141B">
        <w:rPr>
          <w:rFonts w:ascii="Verdana" w:hAnsi="Verdana" w:cs="Arial"/>
          <w:bCs/>
          <w:sz w:val="20"/>
          <w:szCs w:val="20"/>
        </w:rPr>
        <w:t>5</w:t>
      </w:r>
      <w:r w:rsidRPr="00E14D62">
        <w:rPr>
          <w:rFonts w:ascii="Verdana" w:hAnsi="Verdana" w:cs="Arial"/>
          <w:bCs/>
          <w:sz w:val="20"/>
          <w:szCs w:val="20"/>
        </w:rPr>
        <w:t>.</w:t>
      </w:r>
    </w:p>
    <w:p w14:paraId="0147C0DB" w14:textId="339CE33F" w:rsidR="0014645F"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 xml:space="preserve">Cada operación de cuentas de margen debe estar referida a una sola especie de valores en particular. En cada caso, el margen asociado a la operación concreta sólo podrá respaldar </w:t>
      </w:r>
      <w:r w:rsidR="00BC7169" w:rsidRPr="0014645F">
        <w:rPr>
          <w:rFonts w:ascii="Verdana" w:hAnsi="Verdana" w:cs="Arial"/>
          <w:sz w:val="20"/>
          <w:szCs w:val="20"/>
          <w:lang w:val="es-ES" w:eastAsia="es-ES"/>
        </w:rPr>
        <w:t xml:space="preserve">posiciones tomadas por cuenta del cliente en valores de una misma especie y características. </w:t>
      </w:r>
    </w:p>
    <w:p w14:paraId="4DF79763" w14:textId="26993826" w:rsidR="002C228B" w:rsidRPr="0014645F" w:rsidRDefault="002C228B" w:rsidP="002C228B">
      <w:pPr>
        <w:spacing w:line="240" w:lineRule="auto"/>
        <w:jc w:val="both"/>
        <w:rPr>
          <w:rFonts w:ascii="Verdana" w:hAnsi="Verdana" w:cs="Arial"/>
          <w:b/>
          <w:sz w:val="20"/>
          <w:szCs w:val="20"/>
          <w:lang w:val="es-ES" w:eastAsia="es-ES"/>
        </w:rPr>
      </w:pPr>
      <w:r>
        <w:rPr>
          <w:rFonts w:ascii="Verdana" w:hAnsi="Verdana" w:cs="Arial"/>
          <w:b/>
          <w:sz w:val="20"/>
          <w:szCs w:val="20"/>
          <w:lang w:val="es-ES" w:eastAsia="es-ES"/>
        </w:rPr>
        <w:t>R</w:t>
      </w:r>
      <w:r w:rsidRPr="0014645F">
        <w:rPr>
          <w:rFonts w:ascii="Verdana" w:hAnsi="Verdana" w:cs="Arial"/>
          <w:b/>
          <w:sz w:val="20"/>
          <w:szCs w:val="20"/>
          <w:lang w:val="es-ES" w:eastAsia="es-ES"/>
        </w:rPr>
        <w:t>ecursos entregados en desarrollo de contratos de cuentas de margen</w:t>
      </w:r>
    </w:p>
    <w:p w14:paraId="2E777EF7" w14:textId="63DE9CFE" w:rsidR="002C228B" w:rsidRPr="00E14D62" w:rsidRDefault="002C228B" w:rsidP="002C228B">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26</w:t>
      </w:r>
      <w:r w:rsidRPr="00E14D62">
        <w:rPr>
          <w:rFonts w:ascii="Verdana" w:hAnsi="Verdana" w:cs="Arial"/>
          <w:bCs/>
          <w:sz w:val="20"/>
          <w:szCs w:val="20"/>
        </w:rPr>
        <w:t>.</w:t>
      </w:r>
    </w:p>
    <w:p w14:paraId="7E24344E" w14:textId="2E665BA9" w:rsidR="002C228B" w:rsidRPr="0014645F" w:rsidRDefault="002C228B" w:rsidP="002C228B">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 xml:space="preserve">Los recursos entregados como margen deberán ser destinados únicamente al cumplimento </w:t>
      </w:r>
      <w:r w:rsidR="00AC42A6" w:rsidRPr="00AC42A6">
        <w:rPr>
          <w:rFonts w:ascii="Verdana" w:hAnsi="Verdana" w:cs="Arial"/>
          <w:sz w:val="20"/>
          <w:szCs w:val="20"/>
          <w:lang w:eastAsia="es-ES"/>
        </w:rPr>
        <w:t>de las obligaciones que el cliente adquiere con respaldo en dicho margen.</w:t>
      </w:r>
    </w:p>
    <w:p w14:paraId="20EB4412" w14:textId="5A5F23AA" w:rsidR="0014645F" w:rsidRPr="0014645F" w:rsidRDefault="002C228B" w:rsidP="00E428E0">
      <w:pPr>
        <w:spacing w:line="240" w:lineRule="auto"/>
        <w:jc w:val="both"/>
        <w:rPr>
          <w:rFonts w:ascii="Verdana" w:hAnsi="Verdana" w:cs="Arial"/>
          <w:b/>
          <w:sz w:val="20"/>
          <w:szCs w:val="20"/>
          <w:lang w:val="es-ES" w:eastAsia="es-ES"/>
        </w:rPr>
      </w:pPr>
      <w:r>
        <w:rPr>
          <w:rFonts w:ascii="Verdana" w:hAnsi="Verdana" w:cs="Arial"/>
          <w:b/>
          <w:sz w:val="20"/>
          <w:szCs w:val="20"/>
          <w:lang w:val="es-ES" w:eastAsia="es-ES"/>
        </w:rPr>
        <w:t>R</w:t>
      </w:r>
      <w:r w:rsidRPr="0014645F">
        <w:rPr>
          <w:rFonts w:ascii="Verdana" w:hAnsi="Verdana" w:cs="Arial"/>
          <w:b/>
          <w:sz w:val="20"/>
          <w:szCs w:val="20"/>
          <w:lang w:val="es-ES" w:eastAsia="es-ES"/>
        </w:rPr>
        <w:t>eporte de los casos en los cuales la sociedad autorizada cumpla las operaciones de cuentas de margen con recursos propios</w:t>
      </w:r>
    </w:p>
    <w:p w14:paraId="650128E1" w14:textId="3770AC76"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2</w:t>
      </w:r>
      <w:r w:rsidR="002C228B">
        <w:rPr>
          <w:rFonts w:ascii="Verdana" w:hAnsi="Verdana" w:cs="Arial"/>
          <w:bCs/>
          <w:sz w:val="20"/>
          <w:szCs w:val="20"/>
        </w:rPr>
        <w:t>7</w:t>
      </w:r>
      <w:r w:rsidRPr="00E14D62">
        <w:rPr>
          <w:rFonts w:ascii="Verdana" w:hAnsi="Verdana" w:cs="Arial"/>
          <w:bCs/>
          <w:sz w:val="20"/>
          <w:szCs w:val="20"/>
        </w:rPr>
        <w:t>.</w:t>
      </w:r>
    </w:p>
    <w:p w14:paraId="026A7274" w14:textId="5B442C27" w:rsidR="0014645F" w:rsidRPr="0014645F"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Cuando se presente el evento descrito en el artículo 2.33.1.4.1 del Decreto 2555 de 2010, la respectiva sociedad autorizada, por conducto de su representante legal, deberá informarlo por comunicación escrita a la SFC a más tardar el día hábil siguiente a la ocurrencia del hecho.</w:t>
      </w:r>
    </w:p>
    <w:p w14:paraId="73474097" w14:textId="4A08734A" w:rsidR="0014645F" w:rsidRPr="0014645F" w:rsidRDefault="002C228B" w:rsidP="00E428E0">
      <w:pPr>
        <w:spacing w:line="240" w:lineRule="auto"/>
        <w:jc w:val="both"/>
        <w:rPr>
          <w:rFonts w:ascii="Verdana" w:hAnsi="Verdana" w:cs="Arial"/>
          <w:b/>
          <w:sz w:val="20"/>
          <w:szCs w:val="20"/>
          <w:lang w:val="es-ES" w:eastAsia="es-ES"/>
        </w:rPr>
      </w:pPr>
      <w:r>
        <w:rPr>
          <w:rFonts w:ascii="Verdana" w:hAnsi="Verdana" w:cs="Arial"/>
          <w:b/>
          <w:sz w:val="20"/>
          <w:szCs w:val="20"/>
          <w:lang w:val="es-ES" w:eastAsia="es-ES"/>
        </w:rPr>
        <w:t>De</w:t>
      </w:r>
      <w:r w:rsidRPr="0014645F">
        <w:rPr>
          <w:rFonts w:ascii="Verdana" w:hAnsi="Verdana" w:cs="Arial"/>
          <w:b/>
          <w:sz w:val="20"/>
          <w:szCs w:val="20"/>
          <w:lang w:val="es-ES" w:eastAsia="es-ES"/>
        </w:rPr>
        <w:t>sarrollo de las cuentas de margen a través de la administración de portafolios de terceros y negocios fiduciarios</w:t>
      </w:r>
    </w:p>
    <w:p w14:paraId="4D032F22" w14:textId="04338FD9" w:rsidR="002D4874" w:rsidRPr="00E14D62" w:rsidRDefault="002D4874" w:rsidP="002D4874">
      <w:pPr>
        <w:tabs>
          <w:tab w:val="left" w:pos="540"/>
        </w:tabs>
        <w:spacing w:after="0" w:line="240" w:lineRule="auto"/>
        <w:jc w:val="both"/>
        <w:rPr>
          <w:rFonts w:ascii="Verdana" w:hAnsi="Verdana" w:cs="Arial"/>
          <w:bCs/>
          <w:sz w:val="20"/>
          <w:szCs w:val="20"/>
        </w:rPr>
      </w:pPr>
      <w:r w:rsidRPr="00E14D62">
        <w:rPr>
          <w:rFonts w:ascii="Verdana" w:hAnsi="Verdana" w:cs="Arial"/>
          <w:bCs/>
          <w:sz w:val="20"/>
          <w:szCs w:val="20"/>
        </w:rPr>
        <w:t>3.7.3.</w:t>
      </w:r>
      <w:r>
        <w:rPr>
          <w:rFonts w:ascii="Verdana" w:hAnsi="Verdana" w:cs="Arial"/>
          <w:bCs/>
          <w:sz w:val="20"/>
          <w:szCs w:val="20"/>
        </w:rPr>
        <w:t>2</w:t>
      </w:r>
      <w:r w:rsidR="002C228B">
        <w:rPr>
          <w:rFonts w:ascii="Verdana" w:hAnsi="Verdana" w:cs="Arial"/>
          <w:bCs/>
          <w:sz w:val="20"/>
          <w:szCs w:val="20"/>
        </w:rPr>
        <w:t>8</w:t>
      </w:r>
      <w:r w:rsidRPr="00E14D62">
        <w:rPr>
          <w:rFonts w:ascii="Verdana" w:hAnsi="Verdana" w:cs="Arial"/>
          <w:bCs/>
          <w:sz w:val="20"/>
          <w:szCs w:val="20"/>
        </w:rPr>
        <w:t>.</w:t>
      </w:r>
    </w:p>
    <w:p w14:paraId="08BDA29C" w14:textId="2A87F0BE" w:rsidR="0014645F" w:rsidRPr="0014645F"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 xml:space="preserve">Para efectos de lo previsto en el numeral 4 del artículo 2.33.1.6.1. del Decreto 2555 de 2010, no se considera que existe discrecionalidad de la sociedad autorizada para tomar decisiones de inversión cuando las operaciones se ejecuten en el marco de los contratos de administración de portafolios de terceros o de negocios fiduciarios. En estos casos, la sociedad autorizada debe ejecutar las operaciones de acuerdo con las condiciones y lineamientos específicos que se pacten en los contratos de administración de portafolios de terceros o de negocios fiduciarios. </w:t>
      </w:r>
    </w:p>
    <w:p w14:paraId="7009EDFF" w14:textId="6DC69F35" w:rsidR="0014645F" w:rsidRPr="0014645F" w:rsidRDefault="0014645F" w:rsidP="00E428E0">
      <w:pPr>
        <w:spacing w:line="240" w:lineRule="auto"/>
        <w:jc w:val="both"/>
        <w:rPr>
          <w:rFonts w:ascii="Verdana" w:hAnsi="Verdana" w:cs="Arial"/>
          <w:sz w:val="20"/>
          <w:szCs w:val="20"/>
          <w:lang w:val="es-ES" w:eastAsia="es-ES"/>
        </w:rPr>
      </w:pPr>
      <w:r w:rsidRPr="0014645F">
        <w:rPr>
          <w:rFonts w:ascii="Verdana" w:hAnsi="Verdana" w:cs="Arial"/>
          <w:sz w:val="20"/>
          <w:szCs w:val="20"/>
          <w:lang w:val="es-ES" w:eastAsia="es-ES"/>
        </w:rPr>
        <w:t xml:space="preserve"> </w:t>
      </w:r>
    </w:p>
    <w:p w14:paraId="47FC33E4" w14:textId="77777777" w:rsidR="0014645F" w:rsidRPr="0014645F" w:rsidRDefault="0014645F" w:rsidP="00E428E0">
      <w:pPr>
        <w:spacing w:line="240" w:lineRule="auto"/>
        <w:jc w:val="both"/>
        <w:rPr>
          <w:rFonts w:ascii="Verdana" w:hAnsi="Verdana" w:cs="Arial"/>
          <w:b/>
          <w:sz w:val="20"/>
          <w:szCs w:val="20"/>
          <w:lang w:val="es-ES" w:eastAsia="es-ES"/>
        </w:rPr>
      </w:pPr>
    </w:p>
    <w:p w14:paraId="5637727B" w14:textId="77777777" w:rsidR="0014645F" w:rsidRPr="0014645F" w:rsidRDefault="0014645F" w:rsidP="000001A2">
      <w:pPr>
        <w:spacing w:after="0"/>
        <w:rPr>
          <w:rFonts w:ascii="Verdana" w:hAnsi="Verdana"/>
          <w:sz w:val="20"/>
          <w:szCs w:val="20"/>
        </w:rPr>
      </w:pPr>
    </w:p>
    <w:sectPr w:rsidR="0014645F" w:rsidRPr="0014645F" w:rsidSect="003C558F">
      <w:headerReference w:type="default" r:id="rId11"/>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A40ED" w14:textId="77777777" w:rsidR="00A23949" w:rsidRDefault="00A23949" w:rsidP="00057BF6">
      <w:pPr>
        <w:spacing w:after="0" w:line="240" w:lineRule="auto"/>
      </w:pPr>
      <w:r>
        <w:separator/>
      </w:r>
    </w:p>
  </w:endnote>
  <w:endnote w:type="continuationSeparator" w:id="0">
    <w:p w14:paraId="57BB1C68" w14:textId="77777777" w:rsidR="00A23949" w:rsidRDefault="00A23949"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CC844" w14:textId="77777777" w:rsidR="00A23949" w:rsidRDefault="00A23949" w:rsidP="00057BF6">
      <w:pPr>
        <w:spacing w:after="0" w:line="240" w:lineRule="auto"/>
      </w:pPr>
      <w:r>
        <w:separator/>
      </w:r>
    </w:p>
  </w:footnote>
  <w:footnote w:type="continuationSeparator" w:id="0">
    <w:p w14:paraId="4995EFC8" w14:textId="77777777" w:rsidR="00A23949" w:rsidRDefault="00A23949"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96D37"/>
    <w:multiLevelType w:val="multilevel"/>
    <w:tmpl w:val="43244B5C"/>
    <w:lvl w:ilvl="0">
      <w:start w:val="1"/>
      <w:numFmt w:val="decimal"/>
      <w:lvlText w:val="%1."/>
      <w:lvlJc w:val="left"/>
      <w:pPr>
        <w:tabs>
          <w:tab w:val="num" w:pos="450"/>
        </w:tabs>
        <w:ind w:left="450" w:hanging="450"/>
      </w:pPr>
      <w:rPr>
        <w:rFonts w:hint="default"/>
      </w:rPr>
    </w:lvl>
    <w:lvl w:ilvl="1">
      <w:start w:val="9"/>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A1F6783"/>
    <w:multiLevelType w:val="hybridMultilevel"/>
    <w:tmpl w:val="04EC1CE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670226"/>
    <w:multiLevelType w:val="hybridMultilevel"/>
    <w:tmpl w:val="8E7EDFEE"/>
    <w:lvl w:ilvl="0" w:tplc="57FE21D0">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1447196C"/>
    <w:multiLevelType w:val="hybridMultilevel"/>
    <w:tmpl w:val="11F8A734"/>
    <w:lvl w:ilvl="0" w:tplc="AAD4F238">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A851726"/>
    <w:multiLevelType w:val="hybridMultilevel"/>
    <w:tmpl w:val="E9EC8C10"/>
    <w:lvl w:ilvl="0" w:tplc="BDB4431C">
      <w:start w:val="1"/>
      <w:numFmt w:val="lowerLetter"/>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AF77318"/>
    <w:multiLevelType w:val="hybridMultilevel"/>
    <w:tmpl w:val="413E7D14"/>
    <w:lvl w:ilvl="0" w:tplc="BDB8C47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CEF6298"/>
    <w:multiLevelType w:val="hybridMultilevel"/>
    <w:tmpl w:val="DDEA1CD2"/>
    <w:lvl w:ilvl="0" w:tplc="F8FA3A10">
      <w:start w:val="9"/>
      <w:numFmt w:val="lowerLetter"/>
      <w:lvlText w:val="%1."/>
      <w:lvlJc w:val="left"/>
      <w:pPr>
        <w:ind w:left="2061" w:hanging="360"/>
      </w:pPr>
      <w:rPr>
        <w:rFonts w:hint="default"/>
      </w:rPr>
    </w:lvl>
    <w:lvl w:ilvl="1" w:tplc="240A0019" w:tentative="1">
      <w:start w:val="1"/>
      <w:numFmt w:val="lowerLetter"/>
      <w:lvlText w:val="%2."/>
      <w:lvlJc w:val="left"/>
      <w:pPr>
        <w:ind w:left="2781" w:hanging="360"/>
      </w:pPr>
    </w:lvl>
    <w:lvl w:ilvl="2" w:tplc="240A001B" w:tentative="1">
      <w:start w:val="1"/>
      <w:numFmt w:val="lowerRoman"/>
      <w:lvlText w:val="%3."/>
      <w:lvlJc w:val="right"/>
      <w:pPr>
        <w:ind w:left="3501" w:hanging="180"/>
      </w:pPr>
    </w:lvl>
    <w:lvl w:ilvl="3" w:tplc="240A000F" w:tentative="1">
      <w:start w:val="1"/>
      <w:numFmt w:val="decimal"/>
      <w:lvlText w:val="%4."/>
      <w:lvlJc w:val="left"/>
      <w:pPr>
        <w:ind w:left="4221" w:hanging="360"/>
      </w:pPr>
    </w:lvl>
    <w:lvl w:ilvl="4" w:tplc="240A0019" w:tentative="1">
      <w:start w:val="1"/>
      <w:numFmt w:val="lowerLetter"/>
      <w:lvlText w:val="%5."/>
      <w:lvlJc w:val="left"/>
      <w:pPr>
        <w:ind w:left="4941" w:hanging="360"/>
      </w:pPr>
    </w:lvl>
    <w:lvl w:ilvl="5" w:tplc="240A001B" w:tentative="1">
      <w:start w:val="1"/>
      <w:numFmt w:val="lowerRoman"/>
      <w:lvlText w:val="%6."/>
      <w:lvlJc w:val="right"/>
      <w:pPr>
        <w:ind w:left="5661" w:hanging="180"/>
      </w:pPr>
    </w:lvl>
    <w:lvl w:ilvl="6" w:tplc="240A000F" w:tentative="1">
      <w:start w:val="1"/>
      <w:numFmt w:val="decimal"/>
      <w:lvlText w:val="%7."/>
      <w:lvlJc w:val="left"/>
      <w:pPr>
        <w:ind w:left="6381" w:hanging="360"/>
      </w:pPr>
    </w:lvl>
    <w:lvl w:ilvl="7" w:tplc="240A0019" w:tentative="1">
      <w:start w:val="1"/>
      <w:numFmt w:val="lowerLetter"/>
      <w:lvlText w:val="%8."/>
      <w:lvlJc w:val="left"/>
      <w:pPr>
        <w:ind w:left="7101" w:hanging="360"/>
      </w:pPr>
    </w:lvl>
    <w:lvl w:ilvl="8" w:tplc="240A001B" w:tentative="1">
      <w:start w:val="1"/>
      <w:numFmt w:val="lowerRoman"/>
      <w:lvlText w:val="%9."/>
      <w:lvlJc w:val="right"/>
      <w:pPr>
        <w:ind w:left="7821" w:hanging="180"/>
      </w:pPr>
    </w:lvl>
  </w:abstractNum>
  <w:abstractNum w:abstractNumId="7" w15:restartNumberingAfterBreak="0">
    <w:nsid w:val="47BA6948"/>
    <w:multiLevelType w:val="hybridMultilevel"/>
    <w:tmpl w:val="11CC430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8885545"/>
    <w:multiLevelType w:val="hybridMultilevel"/>
    <w:tmpl w:val="F8A8CE3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9FF6CE4"/>
    <w:multiLevelType w:val="hybridMultilevel"/>
    <w:tmpl w:val="C61485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576E638C"/>
    <w:multiLevelType w:val="hybridMultilevel"/>
    <w:tmpl w:val="E090B7D6"/>
    <w:lvl w:ilvl="0" w:tplc="B26A067A">
      <w:start w:val="2"/>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BE6413B"/>
    <w:multiLevelType w:val="hybridMultilevel"/>
    <w:tmpl w:val="8CBEBFB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71C6F69"/>
    <w:multiLevelType w:val="hybridMultilevel"/>
    <w:tmpl w:val="457E4F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2D653E9"/>
    <w:multiLevelType w:val="hybridMultilevel"/>
    <w:tmpl w:val="BD42382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78432656">
    <w:abstractNumId w:val="10"/>
  </w:num>
  <w:num w:numId="2" w16cid:durableId="1875656952">
    <w:abstractNumId w:val="0"/>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66304954">
    <w:abstractNumId w:val="8"/>
  </w:num>
  <w:num w:numId="4" w16cid:durableId="1911500848">
    <w:abstractNumId w:val="9"/>
  </w:num>
  <w:num w:numId="5" w16cid:durableId="448815167">
    <w:abstractNumId w:val="4"/>
  </w:num>
  <w:num w:numId="6" w16cid:durableId="222327170">
    <w:abstractNumId w:val="5"/>
  </w:num>
  <w:num w:numId="7" w16cid:durableId="1495681861">
    <w:abstractNumId w:val="3"/>
  </w:num>
  <w:num w:numId="8" w16cid:durableId="664935149">
    <w:abstractNumId w:val="13"/>
  </w:num>
  <w:num w:numId="9" w16cid:durableId="1821461596">
    <w:abstractNumId w:val="2"/>
  </w:num>
  <w:num w:numId="10" w16cid:durableId="2753095">
    <w:abstractNumId w:val="7"/>
  </w:num>
  <w:num w:numId="11" w16cid:durableId="1368604018">
    <w:abstractNumId w:val="1"/>
  </w:num>
  <w:num w:numId="12" w16cid:durableId="1158350680">
    <w:abstractNumId w:val="6"/>
  </w:num>
  <w:num w:numId="13" w16cid:durableId="2144157965">
    <w:abstractNumId w:val="11"/>
  </w:num>
  <w:num w:numId="14" w16cid:durableId="114373016">
    <w:abstractNumId w:val="12"/>
  </w:num>
  <w:num w:numId="15" w16cid:durableId="8336415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2110"/>
    <w:rsid w:val="00007FA9"/>
    <w:rsid w:val="00043E08"/>
    <w:rsid w:val="00045CD9"/>
    <w:rsid w:val="00057BF6"/>
    <w:rsid w:val="0006102B"/>
    <w:rsid w:val="00065D69"/>
    <w:rsid w:val="0006736C"/>
    <w:rsid w:val="000E285D"/>
    <w:rsid w:val="00133925"/>
    <w:rsid w:val="001350FE"/>
    <w:rsid w:val="0014645F"/>
    <w:rsid w:val="0015115B"/>
    <w:rsid w:val="001753E1"/>
    <w:rsid w:val="001B5187"/>
    <w:rsid w:val="001E6980"/>
    <w:rsid w:val="001F6CED"/>
    <w:rsid w:val="0021666A"/>
    <w:rsid w:val="00253C95"/>
    <w:rsid w:val="00257007"/>
    <w:rsid w:val="00265C51"/>
    <w:rsid w:val="002A34A2"/>
    <w:rsid w:val="002A64F5"/>
    <w:rsid w:val="002B2BAA"/>
    <w:rsid w:val="002B4F4A"/>
    <w:rsid w:val="002C228B"/>
    <w:rsid w:val="002D4874"/>
    <w:rsid w:val="002F423F"/>
    <w:rsid w:val="002F5CF4"/>
    <w:rsid w:val="00312AC3"/>
    <w:rsid w:val="0031658C"/>
    <w:rsid w:val="003870EC"/>
    <w:rsid w:val="003A5CFE"/>
    <w:rsid w:val="003C03A6"/>
    <w:rsid w:val="003C558F"/>
    <w:rsid w:val="003E7057"/>
    <w:rsid w:val="003F3FF6"/>
    <w:rsid w:val="0040498E"/>
    <w:rsid w:val="00405030"/>
    <w:rsid w:val="00406D2B"/>
    <w:rsid w:val="004265E7"/>
    <w:rsid w:val="0043223D"/>
    <w:rsid w:val="004463DF"/>
    <w:rsid w:val="00466266"/>
    <w:rsid w:val="004670A5"/>
    <w:rsid w:val="004816A9"/>
    <w:rsid w:val="004830A8"/>
    <w:rsid w:val="0049366C"/>
    <w:rsid w:val="004A141B"/>
    <w:rsid w:val="004F5663"/>
    <w:rsid w:val="00513C2E"/>
    <w:rsid w:val="005339E5"/>
    <w:rsid w:val="0055785C"/>
    <w:rsid w:val="00565336"/>
    <w:rsid w:val="00596B88"/>
    <w:rsid w:val="005B02D5"/>
    <w:rsid w:val="005D42D6"/>
    <w:rsid w:val="005F07EF"/>
    <w:rsid w:val="005F2427"/>
    <w:rsid w:val="00611A81"/>
    <w:rsid w:val="0061423F"/>
    <w:rsid w:val="006201FD"/>
    <w:rsid w:val="00663E7C"/>
    <w:rsid w:val="006766AA"/>
    <w:rsid w:val="00687B61"/>
    <w:rsid w:val="006A4977"/>
    <w:rsid w:val="00707430"/>
    <w:rsid w:val="00713E61"/>
    <w:rsid w:val="00721D02"/>
    <w:rsid w:val="0077491F"/>
    <w:rsid w:val="007A1901"/>
    <w:rsid w:val="007A302E"/>
    <w:rsid w:val="007C7114"/>
    <w:rsid w:val="007D26C7"/>
    <w:rsid w:val="007D356B"/>
    <w:rsid w:val="008047CA"/>
    <w:rsid w:val="00814E9D"/>
    <w:rsid w:val="008754FF"/>
    <w:rsid w:val="0089681C"/>
    <w:rsid w:val="008A53CC"/>
    <w:rsid w:val="008F06DE"/>
    <w:rsid w:val="009142C5"/>
    <w:rsid w:val="00923DC3"/>
    <w:rsid w:val="00924F01"/>
    <w:rsid w:val="009311C6"/>
    <w:rsid w:val="00956EC8"/>
    <w:rsid w:val="009571FD"/>
    <w:rsid w:val="00974774"/>
    <w:rsid w:val="00982979"/>
    <w:rsid w:val="009A2823"/>
    <w:rsid w:val="009B4EB7"/>
    <w:rsid w:val="009B6D85"/>
    <w:rsid w:val="009D6127"/>
    <w:rsid w:val="009E286E"/>
    <w:rsid w:val="00A0608F"/>
    <w:rsid w:val="00A21AE6"/>
    <w:rsid w:val="00A23949"/>
    <w:rsid w:val="00A41E5E"/>
    <w:rsid w:val="00A6338F"/>
    <w:rsid w:val="00A73449"/>
    <w:rsid w:val="00A74464"/>
    <w:rsid w:val="00A76696"/>
    <w:rsid w:val="00A86412"/>
    <w:rsid w:val="00AA42FA"/>
    <w:rsid w:val="00AC0BDA"/>
    <w:rsid w:val="00AC42A6"/>
    <w:rsid w:val="00AC54A3"/>
    <w:rsid w:val="00AD44DC"/>
    <w:rsid w:val="00B504E3"/>
    <w:rsid w:val="00B66B3C"/>
    <w:rsid w:val="00B70E1A"/>
    <w:rsid w:val="00BA11C6"/>
    <w:rsid w:val="00BB3B78"/>
    <w:rsid w:val="00BC7169"/>
    <w:rsid w:val="00BE1D13"/>
    <w:rsid w:val="00C13A82"/>
    <w:rsid w:val="00C5043A"/>
    <w:rsid w:val="00C90B82"/>
    <w:rsid w:val="00CC3647"/>
    <w:rsid w:val="00CC6142"/>
    <w:rsid w:val="00CF10AE"/>
    <w:rsid w:val="00CF2D38"/>
    <w:rsid w:val="00D4548E"/>
    <w:rsid w:val="00D462ED"/>
    <w:rsid w:val="00D547FF"/>
    <w:rsid w:val="00D63A7E"/>
    <w:rsid w:val="00D8541B"/>
    <w:rsid w:val="00DA0C0E"/>
    <w:rsid w:val="00DB3370"/>
    <w:rsid w:val="00DC34BF"/>
    <w:rsid w:val="00DD2053"/>
    <w:rsid w:val="00DE7F75"/>
    <w:rsid w:val="00E019C2"/>
    <w:rsid w:val="00E03CCC"/>
    <w:rsid w:val="00E13649"/>
    <w:rsid w:val="00E14D62"/>
    <w:rsid w:val="00E150BD"/>
    <w:rsid w:val="00E32C99"/>
    <w:rsid w:val="00E428E0"/>
    <w:rsid w:val="00E62015"/>
    <w:rsid w:val="00EC1C0D"/>
    <w:rsid w:val="00EE4297"/>
    <w:rsid w:val="00F04201"/>
    <w:rsid w:val="00F171B3"/>
    <w:rsid w:val="00F43639"/>
    <w:rsid w:val="00F54729"/>
    <w:rsid w:val="00F65EA7"/>
    <w:rsid w:val="00F91CA2"/>
    <w:rsid w:val="00FB7DCB"/>
    <w:rsid w:val="00FC2533"/>
    <w:rsid w:val="00FE47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542C7A95-EB57-49ED-8ECD-A1F12FD9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paragraph" w:styleId="Revisin">
    <w:name w:val="Revision"/>
    <w:hidden/>
    <w:uiPriority w:val="99"/>
    <w:semiHidden/>
    <w:rsid w:val="0025700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92ADB-C8FE-451A-9E5B-F78786F94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22498389-89C2-4D7D-9EA4-61F7AAC0CB3F}">
  <ds:schemaRefs>
    <ds:schemaRef ds:uri="http://purl.org/dc/dcmitype/"/>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9056d983-1374-4724-9f8d-2ef5b64379db"/>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C618C79E-E70B-494A-BA30-0EE3F3BDE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Pages>
  <Words>2113</Words>
  <Characters>11178</Characters>
  <Application>Microsoft Office Word</Application>
  <DocSecurity>0</DocSecurity>
  <Lines>237</Lines>
  <Paragraphs>111</Paragraphs>
  <ScaleCrop>false</ScaleCrop>
  <Company/>
  <LinksUpToDate>false</LinksUpToDate>
  <CharactersWithSpaces>13180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de Colombia</cp:lastModifiedBy>
  <cp:revision>86</cp:revision>
  <cp:lastPrinted>2025-09-01T14:20:00Z</cp:lastPrinted>
  <dcterms:created xsi:type="dcterms:W3CDTF">2025-03-19T01:22:00Z</dcterms:created>
  <dcterms:modified xsi:type="dcterms:W3CDTF">2026-02-23T02:13:00Z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95700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docLang">
    <vt:lpwstr>es</vt:lpwstr>
  </property>
</Properties>
</file>